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64700" w14:textId="656B4A39" w:rsidR="007764AB" w:rsidRPr="005E0FDC" w:rsidRDefault="00A75F87" w:rsidP="005E0FDC">
      <w:pPr>
        <w:shd w:val="clear" w:color="auto" w:fill="E5E7F8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kern w:val="36"/>
          <w:sz w:val="32"/>
          <w:szCs w:val="32"/>
          <w:lang w:eastAsia="sr-Latn-RS"/>
        </w:rPr>
      </w:pPr>
      <w:r w:rsidRPr="005E0FDC">
        <w:rPr>
          <w:rFonts w:ascii="Times New Roman" w:eastAsia="Times New Roman" w:hAnsi="Times New Roman" w:cs="Times New Roman"/>
          <w:color w:val="FFFFFF" w:themeColor="background1"/>
          <w:kern w:val="36"/>
          <w:sz w:val="32"/>
          <w:szCs w:val="32"/>
          <w:shd w:val="clear" w:color="auto" w:fill="20519B"/>
          <w:lang w:val="sr-Cyrl-RS" w:eastAsia="sr-Latn-RS"/>
        </w:rPr>
        <w:t>Полазне основе</w:t>
      </w:r>
      <w:r w:rsidR="00AB1BB7" w:rsidRPr="005E0FDC">
        <w:rPr>
          <w:rFonts w:ascii="Times New Roman" w:eastAsia="Times New Roman" w:hAnsi="Times New Roman" w:cs="Times New Roman"/>
          <w:color w:val="FFFFFF" w:themeColor="background1"/>
          <w:kern w:val="36"/>
          <w:sz w:val="32"/>
          <w:szCs w:val="32"/>
          <w:shd w:val="clear" w:color="auto" w:fill="20519B"/>
          <w:lang w:val="sr-Cyrl-RS" w:eastAsia="sr-Latn-RS"/>
        </w:rPr>
        <w:t xml:space="preserve"> Нацрта закона о интегрисаном спречавању и контроли загађивања животне средине</w:t>
      </w:r>
    </w:p>
    <w:p w14:paraId="67CEA609" w14:textId="77777777" w:rsidR="00946E9A" w:rsidRPr="005E0FDC" w:rsidRDefault="00946E9A" w:rsidP="005E0FDC">
      <w:pPr>
        <w:pStyle w:val="BodyText"/>
        <w:spacing w:line="276" w:lineRule="auto"/>
        <w:ind w:right="391" w:firstLine="396"/>
        <w:rPr>
          <w:sz w:val="24"/>
          <w:szCs w:val="24"/>
          <w:lang w:val="sr-Cyrl-RS" w:eastAsia="sr-Latn-RS"/>
        </w:rPr>
      </w:pPr>
    </w:p>
    <w:p w14:paraId="7DC49BB4" w14:textId="77777777" w:rsidR="00946E9A" w:rsidRPr="005E0FDC" w:rsidRDefault="00946E9A" w:rsidP="005E0FDC">
      <w:pPr>
        <w:pStyle w:val="BodyText"/>
        <w:spacing w:line="276" w:lineRule="auto"/>
        <w:ind w:right="391" w:firstLine="396"/>
        <w:rPr>
          <w:sz w:val="24"/>
          <w:szCs w:val="24"/>
          <w:lang w:val="sr-Latn-RS" w:eastAsia="sr-Latn-RS"/>
        </w:rPr>
      </w:pPr>
    </w:p>
    <w:p w14:paraId="7A9652EE" w14:textId="77777777" w:rsidR="00AB1BB7" w:rsidRPr="005E0FDC" w:rsidRDefault="00AB1BB7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bookmarkStart w:id="0" w:name="_Toc173303976"/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На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основу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члана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77.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Закона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о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државној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управи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(„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Службени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гласник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РС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”,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бр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79/05, 101/07, 95/10, 99/14, 30/18 –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др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закон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47/18),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као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чл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32, 34.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41.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Закона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о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планском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систему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Републике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Србије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(„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Службени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гласник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РС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”,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број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30/18),</w:t>
      </w:r>
    </w:p>
    <w:p w14:paraId="1840F047" w14:textId="77777777" w:rsidR="000A7B60" w:rsidRPr="005E0FDC" w:rsidRDefault="000A7B60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6F4C83F7" w14:textId="73AD5503" w:rsidR="000A7B60" w:rsidRPr="005E0FDC" w:rsidRDefault="000A7B60" w:rsidP="005E0FD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Министар</w:t>
      </w:r>
      <w:r w:rsidR="005F51A3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тво заштите животне средине </w:t>
      </w:r>
    </w:p>
    <w:p w14:paraId="756EB652" w14:textId="62C4E5CD" w:rsidR="000A7B60" w:rsidRPr="005E0FDC" w:rsidRDefault="000A7B60" w:rsidP="005E0FD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објављује </w:t>
      </w:r>
    </w:p>
    <w:p w14:paraId="601F9360" w14:textId="03950BA6" w:rsidR="00AB1BB7" w:rsidRPr="005E0FDC" w:rsidRDefault="00587937" w:rsidP="005E0FD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Полазне основе</w:t>
      </w:r>
      <w:r w:rsidR="000A7B60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B1BB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Нацрт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AB1BB7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AB1BB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закона</w:t>
      </w:r>
      <w:r w:rsidR="00AB1BB7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AB1BB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AB1BB7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AB1BB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интегрисаном</w:t>
      </w:r>
      <w:r w:rsidR="00AB1BB7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AB1BB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спречавању</w:t>
      </w:r>
      <w:r w:rsidR="00AB1BB7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AB1BB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AB1BB7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AB1BB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контроли</w:t>
      </w:r>
    </w:p>
    <w:p w14:paraId="3665B33A" w14:textId="77777777" w:rsidR="00AB1BB7" w:rsidRPr="005E0FDC" w:rsidRDefault="00AB1BB7" w:rsidP="005E0FD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загађивања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животне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средине</w:t>
      </w:r>
    </w:p>
    <w:p w14:paraId="76997A61" w14:textId="77777777" w:rsidR="00AB1BB7" w:rsidRPr="005E0FDC" w:rsidRDefault="00AB1BB7" w:rsidP="005E0FD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19672004" w14:textId="362A618A" w:rsidR="000A7B60" w:rsidRPr="005E0FDC" w:rsidRDefault="00AB1BB7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Садржај</w:t>
      </w:r>
      <w:r w:rsidR="000A7B60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: </w:t>
      </w:r>
    </w:p>
    <w:p w14:paraId="66E85ED9" w14:textId="2E3702B0" w:rsidR="00AB1BB7" w:rsidRPr="005E0FDC" w:rsidRDefault="00AB1BB7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1.</w:t>
      </w:r>
      <w:r w:rsidR="001E11F6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Приказ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проблема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који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закон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треба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реши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његових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04165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узрока</w:t>
      </w:r>
    </w:p>
    <w:p w14:paraId="7B8BA197" w14:textId="2CE17E1B" w:rsidR="00AB1BB7" w:rsidRPr="005E0FDC" w:rsidRDefault="00AB1BB7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2.</w:t>
      </w:r>
      <w:r w:rsidR="001E11F6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Циљеви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очекивани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ефекти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закона</w:t>
      </w:r>
    </w:p>
    <w:p w14:paraId="36C31A3D" w14:textId="2AB2187B" w:rsidR="00F349D0" w:rsidRPr="005E0FDC" w:rsidRDefault="00AB1BB7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3.</w:t>
      </w:r>
      <w:r w:rsidR="001E11F6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Основна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начела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за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уређивање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друштвених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односа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у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тој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области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укључујући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права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обавезе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субјеката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на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које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се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закон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односи</w:t>
      </w:r>
    </w:p>
    <w:p w14:paraId="75D25DB7" w14:textId="77777777" w:rsidR="007764AB" w:rsidRPr="005E0FDC" w:rsidRDefault="007764AB" w:rsidP="005E0FDC">
      <w:pPr>
        <w:spacing w:before="100" w:beforeAutospacing="1"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1. </w:t>
      </w:r>
      <w:r w:rsidR="006D7D5B"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Приказ проблема који закон треба да реши и његових узрока</w:t>
      </w:r>
      <w:r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:</w:t>
      </w:r>
      <w:bookmarkEnd w:id="0"/>
    </w:p>
    <w:p w14:paraId="2262213B" w14:textId="1A0457BC" w:rsidR="00D21D2A" w:rsidRPr="005E0FDC" w:rsidRDefault="00D21D2A" w:rsidP="005E0FDC">
      <w:pPr>
        <w:tabs>
          <w:tab w:val="left" w:pos="567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FDC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4A34F1" w:rsidRPr="005E0FDC">
        <w:rPr>
          <w:rFonts w:ascii="Times New Roman" w:hAnsi="Times New Roman" w:cs="Times New Roman"/>
          <w:b/>
          <w:sz w:val="24"/>
          <w:szCs w:val="24"/>
          <w:lang w:val="sr-Cyrl-RS"/>
        </w:rPr>
        <w:t>Стање законодавног оквира</w:t>
      </w:r>
    </w:p>
    <w:p w14:paraId="29A18FB4" w14:textId="26DF4CE8" w:rsidR="00AB1BB7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Привредни развој и индустријска производња </w:t>
      </w:r>
      <w:r w:rsidR="00FF4E3A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знатно</w:t>
      </w:r>
      <w:r w:rsidR="00FF4E3A" w:rsidRPr="005E0F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F4E3A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утичу 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="00FF4E3A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стање </w:t>
      </w:r>
      <w:r w:rsidRPr="005E0FDC">
        <w:rPr>
          <w:rFonts w:ascii="Times New Roman" w:hAnsi="Times New Roman" w:cs="Times New Roman"/>
          <w:noProof/>
          <w:sz w:val="24"/>
          <w:szCs w:val="24"/>
        </w:rPr>
        <w:t>животн</w:t>
      </w:r>
      <w:r w:rsidR="00FF4E3A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 средин</w:t>
      </w:r>
      <w:r w:rsidR="00FF4E3A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F4E3A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нарочито преко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F4E3A" w:rsidRPr="005E0FDC">
        <w:rPr>
          <w:rFonts w:ascii="Times New Roman" w:hAnsi="Times New Roman" w:cs="Times New Roman"/>
          <w:noProof/>
          <w:sz w:val="24"/>
          <w:szCs w:val="24"/>
        </w:rPr>
        <w:t>емисија загађујућих материја у ваздух, воду и земљиште</w:t>
      </w:r>
      <w:r w:rsidR="00FF4E3A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као и нерационално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 коришћења ресурса. Посебан допринос овим </w:t>
      </w:r>
      <w:r w:rsidR="00FF4E3A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утицајима 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дају велика индустријска постројења. С тим у вези, </w:t>
      </w:r>
      <w:r w:rsidRPr="005E0FDC">
        <w:rPr>
          <w:rFonts w:ascii="Times New Roman" w:hAnsi="Times New Roman" w:cs="Times New Roman"/>
          <w:i/>
          <w:iCs/>
          <w:noProof/>
          <w:sz w:val="24"/>
          <w:szCs w:val="24"/>
        </w:rPr>
        <w:t>Директивом 96/61/</w:t>
      </w:r>
      <w:r w:rsidRPr="005E0FDC">
        <w:rPr>
          <w:rFonts w:ascii="Times New Roman" w:hAnsi="Times New Roman" w:cs="Times New Roman"/>
          <w:i/>
          <w:iCs/>
          <w:sz w:val="24"/>
          <w:szCs w:val="24"/>
        </w:rPr>
        <w:t>ЕЗ</w:t>
      </w:r>
      <w:r w:rsidRPr="005E0FD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о интегрисаном спречавању и контроли загађивања (кодификованом Директивом 2008/1/</w:t>
      </w:r>
      <w:r w:rsidRPr="005E0FDC">
        <w:rPr>
          <w:rFonts w:ascii="Times New Roman" w:hAnsi="Times New Roman" w:cs="Times New Roman"/>
          <w:i/>
          <w:iCs/>
          <w:sz w:val="24"/>
          <w:szCs w:val="24"/>
        </w:rPr>
        <w:t>ЕЗ</w:t>
      </w:r>
      <w:r w:rsidRPr="005E0FD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) </w:t>
      </w:r>
      <w:r w:rsidR="00692E68" w:rsidRPr="005E0FDC">
        <w:rPr>
          <w:rFonts w:ascii="Times New Roman" w:hAnsi="Times New Roman" w:cs="Times New Roman"/>
          <w:noProof/>
          <w:sz w:val="24"/>
          <w:szCs w:val="24"/>
        </w:rPr>
        <w:t xml:space="preserve">у Европској унији </w:t>
      </w:r>
      <w:r w:rsidR="00692E68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Pr="005E0FDC">
        <w:rPr>
          <w:rFonts w:ascii="Times New Roman" w:hAnsi="Times New Roman" w:cs="Times New Roman"/>
          <w:noProof/>
          <w:sz w:val="24"/>
          <w:szCs w:val="24"/>
        </w:rPr>
        <w:t>1996</w:t>
      </w:r>
      <w:r w:rsidR="000A317C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692E68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 успостављен општи оквир за јединствено</w:t>
      </w:r>
      <w:r w:rsidR="00692E68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(интегрисано)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 спречавање и контролу загађивања, који је садржао мере за </w:t>
      </w:r>
      <w:r w:rsidR="00692E68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његово </w:t>
      </w:r>
      <w:r w:rsidRPr="005E0FDC">
        <w:rPr>
          <w:rFonts w:ascii="Times New Roman" w:hAnsi="Times New Roman" w:cs="Times New Roman"/>
          <w:noProof/>
          <w:sz w:val="24"/>
          <w:szCs w:val="24"/>
        </w:rPr>
        <w:t>постизање.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Ова директива је престала да важи доношењем </w:t>
      </w:r>
      <w:r w:rsidRPr="005E0FDC">
        <w:rPr>
          <w:rFonts w:ascii="Times New Roman" w:hAnsi="Times New Roman" w:cs="Times New Roman"/>
          <w:i/>
          <w:iCs/>
          <w:noProof/>
          <w:sz w:val="24"/>
          <w:szCs w:val="24"/>
          <w:lang w:val="sr-Cyrl-RS"/>
        </w:rPr>
        <w:t>Директиве 2010/75/ЕУ о индустријским емисијама.</w:t>
      </w:r>
      <w:r w:rsidRPr="005E0FD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</w:p>
    <w:p w14:paraId="3612B9DE" w14:textId="5EF7914B" w:rsidR="00AB1BB7" w:rsidRPr="005E0FDC" w:rsidRDefault="00692E68" w:rsidP="005E0FDC">
      <w:p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У вези са тим, и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 xml:space="preserve">нтегрисана контрола загађивања као правни појам уведена 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 xml:space="preserve">у правни систем Републике Србије доношењем </w:t>
      </w:r>
      <w:r w:rsidR="07FD9BFB" w:rsidRPr="005E0FD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Закона о интегрисаном спречавању и контроли загађивања 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>(„Службени гласник РС</w:t>
      </w:r>
      <w:r w:rsidR="00F372EB" w:rsidRPr="005E0FDC">
        <w:rPr>
          <w:rFonts w:ascii="Times New Roman" w:hAnsi="Times New Roman" w:cs="Times New Roman"/>
          <w:noProof/>
          <w:sz w:val="24"/>
          <w:szCs w:val="24"/>
        </w:rPr>
        <w:t>ˮ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>, бр. 135/04, 25/15 и 109/21) (у даљем тексту: IPPC закон) и по</w:t>
      </w:r>
      <w:r w:rsidR="07FD9BFB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дз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 xml:space="preserve">аконских аката, са циљем да се законским регулисањем обезбеди </w:t>
      </w:r>
      <w:r w:rsidR="07FD9BFB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усклађивање 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 xml:space="preserve">рада највећих загађивача са условима 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који се </w:t>
      </w:r>
      <w:r w:rsidR="07FD9BFB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пропис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ују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 xml:space="preserve"> интегрисан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ом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 xml:space="preserve"> дозвол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ом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 xml:space="preserve">. Идеја је била да се привреда Републике Србије прилагоди захтевима тржишта 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и 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 се, 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>истовремено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 xml:space="preserve"> поштуј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у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 xml:space="preserve"> норме које </w:t>
      </w:r>
      <w:r w:rsidR="007C2625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се односе на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 xml:space="preserve"> коришћење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ресурса</w:t>
      </w:r>
      <w:r w:rsidR="002103E1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емисије у животну средину</w:t>
      </w:r>
      <w:r w:rsidR="003641EA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103E1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али</w:t>
      </w:r>
      <w:r w:rsidR="003641EA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50FC6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њ</w:t>
      </w:r>
      <w:r w:rsidR="005A3D22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ихову</w:t>
      </w:r>
      <w:r w:rsidR="00550FC6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7FD9BFB" w:rsidRPr="005E0FDC">
        <w:rPr>
          <w:rFonts w:ascii="Times New Roman" w:hAnsi="Times New Roman" w:cs="Times New Roman"/>
          <w:noProof/>
          <w:sz w:val="24"/>
          <w:szCs w:val="24"/>
        </w:rPr>
        <w:t>заштиту.</w:t>
      </w:r>
    </w:p>
    <w:p w14:paraId="2E8EBF81" w14:textId="6F30AB9A" w:rsidR="00B1635C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У Републици Србији 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Д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иректива 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96/61/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ЕЗ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(у даљем тексту: </w:t>
      </w:r>
      <w:r w:rsidRPr="005E0FDC">
        <w:rPr>
          <w:rFonts w:ascii="Times New Roman" w:hAnsi="Times New Roman" w:cs="Times New Roman"/>
          <w:noProof/>
          <w:sz w:val="24"/>
          <w:szCs w:val="24"/>
        </w:rPr>
        <w:t>IPPC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Директива) 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је  транспонована у </w:t>
      </w:r>
      <w:bookmarkStart w:id="1" w:name="_Hlk189840530"/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IPPC закон </w:t>
      </w:r>
      <w:bookmarkEnd w:id="1"/>
      <w:r w:rsidRPr="005E0FDC">
        <w:rPr>
          <w:rFonts w:ascii="Times New Roman" w:hAnsi="Times New Roman" w:cs="Times New Roman"/>
          <w:noProof/>
          <w:sz w:val="24"/>
          <w:szCs w:val="24"/>
        </w:rPr>
        <w:t>и по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дз</w:t>
      </w:r>
      <w:r w:rsidRPr="005E0FDC">
        <w:rPr>
          <w:rFonts w:ascii="Times New Roman" w:hAnsi="Times New Roman" w:cs="Times New Roman"/>
          <w:noProof/>
          <w:sz w:val="24"/>
          <w:szCs w:val="24"/>
        </w:rPr>
        <w:t>аконск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 акта. </w:t>
      </w:r>
    </w:p>
    <w:p w14:paraId="07714C73" w14:textId="39342F41" w:rsidR="00AB1BB7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Након транспоновања </w:t>
      </w:r>
      <w:r w:rsidRPr="005E0FDC">
        <w:rPr>
          <w:rFonts w:ascii="Times New Roman" w:hAnsi="Times New Roman" w:cs="Times New Roman"/>
          <w:noProof/>
          <w:sz w:val="24"/>
          <w:szCs w:val="24"/>
        </w:rPr>
        <w:t>IPPC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Директиве, даљи, логичан наставак побољшања законодавства у овој области је транспоновање 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Директиве о индустријским емисијама 2010/75/ЕУ, као 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и успостављање бољег</w:t>
      </w:r>
      <w:r w:rsidR="00793235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оперативн</w:t>
      </w:r>
      <w:r w:rsidR="00793235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ијег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система за издавање интегрисаних дозвола. </w:t>
      </w:r>
    </w:p>
    <w:p w14:paraId="12C7D3C3" w14:textId="65FCCB0C" w:rsidR="008D08D1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0FDC">
        <w:rPr>
          <w:rFonts w:ascii="Times New Roman" w:hAnsi="Times New Roman" w:cs="Times New Roman"/>
          <w:i/>
          <w:iCs/>
          <w:noProof/>
          <w:sz w:val="24"/>
          <w:szCs w:val="24"/>
        </w:rPr>
        <w:t>Преговарачка позиција Републике Србије за Поглавље 27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, израђена за процес преговора о приступању Републике Србије Европској Унији, дала је полазне основе за израду и доношење докумената јавних политика у области животне средине. Између осталог дефинисала је и неопходне кораке за усклађивање националне политике и законодавства са ЕУ захтевима. У складу са </w:t>
      </w:r>
      <w:r w:rsidR="003A2915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тим</w:t>
      </w:r>
      <w:r w:rsidR="00A4522A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D08D1"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транспозиција </w:t>
      </w:r>
      <w:r w:rsidR="00086E31" w:rsidRPr="005E0FDC">
        <w:rPr>
          <w:rFonts w:ascii="Times New Roman" w:hAnsi="Times New Roman" w:cs="Times New Roman"/>
          <w:noProof/>
          <w:sz w:val="24"/>
          <w:szCs w:val="24"/>
        </w:rPr>
        <w:t>Директиве о индустријским емисијама 2010/75/ЕУ</w:t>
      </w:r>
      <w:r w:rsidR="00086E31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1B2352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даљем тексту : </w:t>
      </w:r>
      <w:r w:rsidR="00086E31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IED Директив</w:t>
      </w:r>
      <w:r w:rsidR="001B2352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086E31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 </w:t>
      </w:r>
      <w:r w:rsidR="008D08D1"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ће се осигурати кроз </w:t>
      </w:r>
      <w:r w:rsidR="00E44500" w:rsidRPr="005E0FDC">
        <w:rPr>
          <w:rFonts w:ascii="Times New Roman" w:hAnsi="Times New Roman" w:cs="Times New Roman"/>
          <w:noProof/>
          <w:sz w:val="24"/>
          <w:szCs w:val="24"/>
        </w:rPr>
        <w:t xml:space="preserve">ревизију и усклађивање постојећег правног оквира у области интегрисаног спречавања и контроле загађивања кроз заштиту ваздуха, вода, земљишта и контролу управљања отпадом. </w:t>
      </w:r>
    </w:p>
    <w:p w14:paraId="52E6F79F" w14:textId="55740137" w:rsidR="007A20CD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бласти на које ће се фокусирати усклађивање законодавног оквира о интегрисаном спречавању и контроли загађивања животне средине са 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IED Директивом су</w:t>
      </w:r>
      <w:r w:rsidRPr="005E0FDC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75818A79" w14:textId="324824E6" w:rsidR="00635A1B" w:rsidRPr="005E0FDC" w:rsidRDefault="005B2CA5" w:rsidP="005E0FDC">
      <w:pPr>
        <w:numPr>
          <w:ilvl w:val="0"/>
          <w:numId w:val="39"/>
        </w:numPr>
        <w:spacing w:before="120" w:line="276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>о</w:t>
      </w:r>
      <w:r w:rsidR="004B7568"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>тклањање административних препрека у поступку издавања дозвола</w:t>
      </w:r>
      <w:r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>;</w:t>
      </w:r>
      <w:r w:rsidR="004B7568"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14:paraId="17361988" w14:textId="3DB4B7F3" w:rsidR="004B7568" w:rsidRPr="005E0FDC" w:rsidRDefault="005B2CA5" w:rsidP="005E0FDC">
      <w:pPr>
        <w:numPr>
          <w:ilvl w:val="0"/>
          <w:numId w:val="39"/>
        </w:num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635A1B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нализирање капацитета на свим нивоима надлежности, разматрање постојећих ризика у споровођењу поступака и увођење мера за превазилажење уочених проблема</w:t>
      </w:r>
      <w:r w:rsidR="00635A1B" w:rsidRPr="005E0FDC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539935A4" w14:textId="3504BCF0" w:rsidR="000627FD" w:rsidRPr="005E0FDC" w:rsidRDefault="005B2CA5" w:rsidP="005E0FDC">
      <w:pPr>
        <w:numPr>
          <w:ilvl w:val="0"/>
          <w:numId w:val="39"/>
        </w:num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у</w:t>
      </w:r>
      <w:r w:rsidR="000627FD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напређење </w:t>
      </w:r>
      <w:r w:rsidR="000627FD" w:rsidRPr="005E0FDC">
        <w:rPr>
          <w:rFonts w:ascii="Times New Roman" w:hAnsi="Times New Roman" w:cs="Times New Roman"/>
          <w:noProof/>
          <w:sz w:val="24"/>
          <w:szCs w:val="24"/>
        </w:rPr>
        <w:t>административн</w:t>
      </w:r>
      <w:r w:rsidR="000627FD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 процедуре </w:t>
      </w:r>
      <w:r w:rsidR="000627FD" w:rsidRPr="005E0FDC">
        <w:rPr>
          <w:rFonts w:ascii="Times New Roman" w:hAnsi="Times New Roman" w:cs="Times New Roman"/>
          <w:noProof/>
          <w:sz w:val="24"/>
          <w:szCs w:val="24"/>
        </w:rPr>
        <w:t xml:space="preserve">у поступку издавања </w:t>
      </w:r>
      <w:r w:rsidR="000627FD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интегрисаних </w:t>
      </w:r>
      <w:r w:rsidR="000627FD" w:rsidRPr="005E0FDC">
        <w:rPr>
          <w:rFonts w:ascii="Times New Roman" w:hAnsi="Times New Roman" w:cs="Times New Roman"/>
          <w:noProof/>
          <w:sz w:val="24"/>
          <w:szCs w:val="24"/>
        </w:rPr>
        <w:t>дозвола</w:t>
      </w:r>
      <w:r w:rsidR="000627FD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14:paraId="117E2AA2" w14:textId="1F6A3AAC" w:rsidR="004B7568" w:rsidRPr="005E0FDC" w:rsidRDefault="005B2CA5" w:rsidP="005E0FDC">
      <w:pPr>
        <w:numPr>
          <w:ilvl w:val="0"/>
          <w:numId w:val="39"/>
        </w:num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>у</w:t>
      </w:r>
      <w:r w:rsidR="004B7568"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спостављање делотворне процедуре за издавање дозвола и побољшање квалитета дозвола: </w:t>
      </w:r>
    </w:p>
    <w:p w14:paraId="5F749AA5" w14:textId="73729035" w:rsidR="000A7B60" w:rsidRPr="005E0FDC" w:rsidRDefault="005D7C9E" w:rsidP="005E0FDC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образовање и укључивање </w:t>
      </w:r>
      <w:r w:rsidRPr="005E0FDC">
        <w:rPr>
          <w:rFonts w:ascii="Times New Roman" w:hAnsi="Times New Roman" w:cs="Times New Roman"/>
          <w:noProof/>
          <w:sz w:val="24"/>
          <w:szCs w:val="24"/>
        </w:rPr>
        <w:t>техничке комисије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 почетку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 поступк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 издавања интегрисаних дозвола;</w:t>
      </w:r>
    </w:p>
    <w:p w14:paraId="4586EC71" w14:textId="77777777" w:rsidR="005B743C" w:rsidRPr="005E0FDC" w:rsidRDefault="005B743C" w:rsidP="005E0FDC">
      <w:pPr>
        <w:pStyle w:val="ListParagraph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>стварање оквира за обезбеђивање ефективног интегрисаног приступа свих органа који учествују у поступку издавања интегрисаних дозвола;</w:t>
      </w:r>
    </w:p>
    <w:p w14:paraId="7C9DBF0A" w14:textId="77777777" w:rsidR="004B7568" w:rsidRPr="005E0FDC" w:rsidRDefault="004B7568" w:rsidP="005E0FDC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унапређење одредби које се односе на услове који се прописију дозволом и утврђивање граничних вредности емисије у складу са закључцима о </w:t>
      </w:r>
      <w:r w:rsidRPr="005E0FDC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BAT</w:t>
      </w:r>
      <w:r w:rsidRPr="005E0FDC">
        <w:rPr>
          <w:rFonts w:ascii="Times New Roman" w:hAnsi="Times New Roman" w:cs="Times New Roman"/>
          <w:i/>
          <w:noProof/>
          <w:sz w:val="24"/>
          <w:szCs w:val="24"/>
          <w:lang w:val="ru-RU"/>
        </w:rPr>
        <w:t>;</w:t>
      </w:r>
    </w:p>
    <w:p w14:paraId="4AB6D7E5" w14:textId="11CF6AEF" w:rsidR="004B7568" w:rsidRPr="005E0FDC" w:rsidRDefault="004B7568" w:rsidP="005E0FDC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>унапређење одредби које се односе на мониторинг, увођење нових одредби које се односе на затварање локације, извештавање и слично;</w:t>
      </w:r>
    </w:p>
    <w:p w14:paraId="03643213" w14:textId="03DE8287" w:rsidR="00DC5442" w:rsidRPr="005E0FDC" w:rsidRDefault="00DC5442" w:rsidP="005E0FDC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>увођење општих обавезујућих правила за индустријске активности где је то применљиво;</w:t>
      </w:r>
    </w:p>
    <w:p w14:paraId="6385505E" w14:textId="1790E7A3" w:rsidR="004B7568" w:rsidRPr="005E0FDC" w:rsidRDefault="005B2CA5" w:rsidP="005E0FDC">
      <w:pPr>
        <w:numPr>
          <w:ilvl w:val="0"/>
          <w:numId w:val="40"/>
        </w:num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>д</w:t>
      </w:r>
      <w:r w:rsidR="004B7568"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>опуна одредби које се односе на инспекцију у области заштите животне средине;</w:t>
      </w:r>
    </w:p>
    <w:p w14:paraId="0C6920BC" w14:textId="515218D7" w:rsidR="004B7568" w:rsidRPr="005E0FDC" w:rsidRDefault="005B2CA5" w:rsidP="005E0FDC">
      <w:pPr>
        <w:numPr>
          <w:ilvl w:val="0"/>
          <w:numId w:val="40"/>
        </w:num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>и</w:t>
      </w:r>
      <w:r w:rsidR="004B7568"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>зрада јасног и транспарентног оквира о учешћу јавности и приступу правди;</w:t>
      </w:r>
    </w:p>
    <w:p w14:paraId="4381AE10" w14:textId="0806BD4E" w:rsidR="00AB1BB7" w:rsidRPr="005E0FDC" w:rsidRDefault="005B2CA5" w:rsidP="005E0FDC">
      <w:pPr>
        <w:numPr>
          <w:ilvl w:val="0"/>
          <w:numId w:val="40"/>
        </w:num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>о</w:t>
      </w:r>
      <w:r w:rsidR="004B7568" w:rsidRPr="005E0FDC">
        <w:rPr>
          <w:rFonts w:ascii="Times New Roman" w:hAnsi="Times New Roman" w:cs="Times New Roman"/>
          <w:noProof/>
          <w:sz w:val="24"/>
          <w:szCs w:val="24"/>
          <w:lang w:val="ru-RU"/>
        </w:rPr>
        <w:t>сигурати да се омогући јасно позивање на релевантне одредбе из домаћег законодавства којима се транспонују различити аспекти Директиве о индустријским емисијама.</w:t>
      </w:r>
    </w:p>
    <w:p w14:paraId="237C9FB2" w14:textId="7A78C80C" w:rsidR="00AB1BB7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Национални програм за усвајање правних тековина Европске уније за период од </w:t>
      </w:r>
      <w:r w:rsidR="00E40D70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</w:t>
      </w:r>
      <w:r w:rsidRPr="005E0FDC">
        <w:rPr>
          <w:rFonts w:ascii="Times New Roman" w:hAnsi="Times New Roman" w:cs="Times New Roman"/>
          <w:noProof/>
          <w:sz w:val="24"/>
          <w:szCs w:val="24"/>
        </w:rPr>
        <w:t>2024</w:t>
      </w:r>
      <w:r w:rsidR="00E40D70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40D70" w:rsidRPr="005E0FDC">
        <w:rPr>
          <w:rFonts w:ascii="Times New Roman" w:hAnsi="Times New Roman" w:cs="Times New Roman"/>
          <w:noProof/>
          <w:sz w:val="24"/>
          <w:szCs w:val="24"/>
        </w:rPr>
        <w:t>–</w:t>
      </w:r>
      <w:r w:rsidR="00E40D70"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2027. године предвиђа доношење новог </w:t>
      </w:r>
      <w:bookmarkStart w:id="2" w:name="_Hlk189837762"/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Закона о интегрисаном спречавању и контроли загађивања животне средине </w:t>
      </w:r>
      <w:bookmarkEnd w:id="2"/>
      <w:r w:rsidRPr="005E0FDC">
        <w:rPr>
          <w:rFonts w:ascii="Times New Roman" w:hAnsi="Times New Roman" w:cs="Times New Roman"/>
          <w:noProof/>
          <w:sz w:val="24"/>
          <w:szCs w:val="24"/>
        </w:rPr>
        <w:t>у III кварталу 2026. године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14:paraId="7F073BCA" w14:textId="6585E5F3" w:rsidR="00AB1BB7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noProof/>
          <w:sz w:val="24"/>
          <w:szCs w:val="24"/>
        </w:rPr>
        <w:t>Закон је неопходно ускладити и са променама у националном законодавству</w:t>
      </w:r>
      <w:r w:rsidR="004E7BBF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23C7C8B8" w14:textId="06E46E26" w:rsidR="00480176" w:rsidRPr="004E7BBF" w:rsidRDefault="004A34F1" w:rsidP="005E0FDC">
      <w:pPr>
        <w:spacing w:before="100" w:beforeAutospacing="1" w:after="3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1.2. </w:t>
      </w:r>
      <w:r w:rsidR="00102303"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А</w:t>
      </w:r>
      <w:r w:rsidR="00480176"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на</w:t>
      </w:r>
      <w:r w:rsidR="00102303"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лиза примене </w:t>
      </w:r>
      <w:r w:rsidR="004E7BBF" w:rsidRPr="004E7BBF">
        <w:rPr>
          <w:rFonts w:ascii="Times New Roman" w:hAnsi="Times New Roman" w:cs="Times New Roman"/>
          <w:b/>
          <w:bCs/>
          <w:noProof/>
          <w:sz w:val="24"/>
          <w:szCs w:val="24"/>
        </w:rPr>
        <w:t>Закона о интегрисаном спречавању и контроли загађивања животне средине</w:t>
      </w:r>
    </w:p>
    <w:p w14:paraId="7BBACE3D" w14:textId="3B5D50A6" w:rsidR="00A17C78" w:rsidRPr="004E7BBF" w:rsidRDefault="07FD9BFB" w:rsidP="004E7BBF">
      <w:pPr>
        <w:spacing w:before="100" w:beforeAutospacing="1" w:after="3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E0FDC">
        <w:rPr>
          <w:rFonts w:ascii="Times New Roman" w:hAnsi="Times New Roman" w:cs="Times New Roman"/>
          <w:sz w:val="24"/>
          <w:szCs w:val="24"/>
        </w:rPr>
        <w:t xml:space="preserve">У складу са Законом о планском систему, урађена је </w:t>
      </w:r>
      <w:r w:rsidR="000A7B60" w:rsidRPr="005E0FD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E0FD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40D70" w:rsidRPr="005E0FD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-</w:t>
      </w:r>
      <w:r w:rsidR="000A7B60" w:rsidRPr="005E0FDC">
        <w:rPr>
          <w:rFonts w:ascii="Times New Roman" w:hAnsi="Times New Roman" w:cs="Times New Roman"/>
          <w:i/>
          <w:iCs/>
          <w:sz w:val="24"/>
          <w:szCs w:val="24"/>
        </w:rPr>
        <w:t>post</w:t>
      </w:r>
      <w:r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="004E7BB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0FDC">
        <w:rPr>
          <w:rFonts w:ascii="Times New Roman" w:hAnsi="Times New Roman" w:cs="Times New Roman"/>
          <w:sz w:val="24"/>
          <w:szCs w:val="24"/>
        </w:rPr>
        <w:t xml:space="preserve">нализа примене </w:t>
      </w:r>
      <w:r w:rsidR="004E7BBF" w:rsidRPr="004E7BBF">
        <w:rPr>
          <w:rFonts w:ascii="Times New Roman" w:hAnsi="Times New Roman" w:cs="Times New Roman"/>
          <w:noProof/>
          <w:sz w:val="24"/>
          <w:szCs w:val="24"/>
        </w:rPr>
        <w:t>Закона о интегрисаном спречавању и контроли загађивања животне средине</w:t>
      </w:r>
      <w:r w:rsidR="004E7BB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из 2004. </w:t>
      </w:r>
      <w:r w:rsidR="000A7B60" w:rsidRPr="005E0FD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одине. Анализирани</w:t>
      </w:r>
      <w:r w:rsidRPr="005E0FDC">
        <w:rPr>
          <w:rFonts w:ascii="Times New Roman" w:hAnsi="Times New Roman" w:cs="Times New Roman"/>
          <w:sz w:val="24"/>
          <w:szCs w:val="24"/>
        </w:rPr>
        <w:t xml:space="preserve"> су недостаци, правне празнине, баријере и изазови у примени овог закона.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Осим тога, неопходно је </w:t>
      </w:r>
      <w:r w:rsidR="004E7BBF" w:rsidRPr="005E0FDC">
        <w:rPr>
          <w:rFonts w:ascii="Times New Roman" w:hAnsi="Times New Roman" w:cs="Times New Roman"/>
          <w:sz w:val="24"/>
          <w:szCs w:val="24"/>
          <w:lang w:val="sr-Cyrl-RS"/>
        </w:rPr>
        <w:t>ускладити</w:t>
      </w:r>
      <w:r w:rsidR="004E7BBF"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</w:rPr>
        <w:t>закон са IED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</w:rPr>
        <w:t xml:space="preserve">Директивом у делу који се односи на Поглавље I (Заједничке одредбе) о издавању </w:t>
      </w:r>
      <w:bookmarkStart w:id="3" w:name="_Hlk185251866"/>
      <w:r w:rsidRPr="005E0FDC">
        <w:rPr>
          <w:rFonts w:ascii="Times New Roman" w:hAnsi="Times New Roman" w:cs="Times New Roman"/>
          <w:sz w:val="24"/>
          <w:szCs w:val="24"/>
        </w:rPr>
        <w:t>IPPC</w:t>
      </w:r>
      <w:bookmarkEnd w:id="3"/>
      <w:r w:rsidRPr="005E0FDC">
        <w:rPr>
          <w:rFonts w:ascii="Times New Roman" w:hAnsi="Times New Roman" w:cs="Times New Roman"/>
          <w:sz w:val="24"/>
          <w:szCs w:val="24"/>
        </w:rPr>
        <w:t xml:space="preserve"> дозволе и Поглавље II (</w:t>
      </w:r>
      <w:r w:rsidR="0062446F" w:rsidRPr="005E0F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0FDC">
        <w:rPr>
          <w:rFonts w:ascii="Times New Roman" w:hAnsi="Times New Roman" w:cs="Times New Roman"/>
          <w:sz w:val="24"/>
          <w:szCs w:val="24"/>
        </w:rPr>
        <w:t xml:space="preserve">ктивности са Анекса I) о постројењима за која се издаје IPPC дозвола. </w:t>
      </w:r>
    </w:p>
    <w:p w14:paraId="63D2AF81" w14:textId="05EBCC3F" w:rsidR="00A96F8E" w:rsidRPr="005E0FDC" w:rsidRDefault="07FD9BFB" w:rsidP="005E0FDC">
      <w:pPr>
        <w:tabs>
          <w:tab w:val="left" w:pos="567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>Недостатак неопходне документације (употребне и водне дозволе) нарочито је успорио процес издавања интегрисаних дозвола. Детаљном анализом проблема, уочено је да до проблема са исходовањем употребних дозвола најчешће долази због нерешених имовинско-правних односа, недостат</w:t>
      </w:r>
      <w:r w:rsidR="00591923" w:rsidRPr="005E0FDC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потребне документације за ову процедуру, недовршених процедура у Катастру непокретности, неуредне техничке документације</w:t>
      </w:r>
      <w:r w:rsidR="00CB7C91" w:rsidRPr="005E0FDC">
        <w:rPr>
          <w:rFonts w:ascii="Times New Roman" w:hAnsi="Times New Roman" w:cs="Times New Roman"/>
          <w:sz w:val="24"/>
          <w:szCs w:val="24"/>
          <w:lang w:val="sr-Cyrl-RS"/>
        </w:rPr>
        <w:t>, и</w:t>
      </w:r>
      <w:r w:rsidR="00E60637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др</w:t>
      </w:r>
      <w:r w:rsidR="00CB7C91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Када су у питању водне дозволе, недовршене процедуре исходовања водних дозвола најчешће су узроковане недостатком потребне документације</w:t>
      </w:r>
      <w:r w:rsidR="00637EC2" w:rsidRPr="005E0F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49D51D" w14:textId="06A75E0F" w:rsidR="00935A9C" w:rsidRPr="005E0FDC" w:rsidRDefault="004E7BBF" w:rsidP="005E0FDC">
      <w:pPr>
        <w:tabs>
          <w:tab w:val="left" w:pos="567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7FD9BFB" w:rsidRPr="005E0FDC">
        <w:rPr>
          <w:rFonts w:ascii="Times New Roman" w:hAnsi="Times New Roman" w:cs="Times New Roman"/>
          <w:sz w:val="24"/>
          <w:szCs w:val="24"/>
        </w:rPr>
        <w:t>оказатељи у примени:</w:t>
      </w:r>
    </w:p>
    <w:p w14:paraId="3DACB588" w14:textId="0BB22C86" w:rsidR="00F43CF6" w:rsidRPr="005E0FDC" w:rsidRDefault="07FD9BFB" w:rsidP="005E0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eastAsia="Times New Roman" w:hAnsi="Times New Roman" w:cs="Times New Roman"/>
          <w:i/>
          <w:iCs/>
          <w:sz w:val="24"/>
          <w:szCs w:val="24"/>
          <w:lang w:val="sr-Cyrl-RS" w:eastAsia="sr-Latn-RS"/>
        </w:rPr>
        <w:t xml:space="preserve">1.2.1 </w:t>
      </w:r>
      <w:r w:rsidR="00F43CF6" w:rsidRPr="005E0FD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Приказ броја </w:t>
      </w:r>
      <w:r w:rsidR="00F43CF6" w:rsidRPr="005E0FDC">
        <w:rPr>
          <w:rFonts w:ascii="Times New Roman" w:hAnsi="Times New Roman" w:cs="Times New Roman"/>
          <w:b/>
          <w:bCs/>
          <w:sz w:val="24"/>
          <w:szCs w:val="24"/>
        </w:rPr>
        <w:t>IPPC</w:t>
      </w:r>
      <w:r w:rsidR="00F43CF6" w:rsidRPr="005E0FD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постројења у односу на индустријску активност</w:t>
      </w:r>
    </w:p>
    <w:p w14:paraId="15880A1E" w14:textId="09128EEA" w:rsidR="00C21095" w:rsidRPr="005E0FDC" w:rsidRDefault="00F43CF6" w:rsidP="005E0F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62446F" w:rsidRPr="005E0FD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абели 1. </w:t>
      </w:r>
      <w:r w:rsidR="0062446F" w:rsidRPr="005E0FDC">
        <w:rPr>
          <w:rFonts w:ascii="Times New Roman" w:hAnsi="Times New Roman" w:cs="Times New Roman"/>
          <w:sz w:val="24"/>
          <w:szCs w:val="24"/>
          <w:lang w:val="sr-Cyrl-RS"/>
        </w:rPr>
        <w:t>дат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7BBF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приказ броја постројења по врстама активн</w:t>
      </w:r>
      <w:r w:rsidR="0062446F" w:rsidRPr="005E0FDC">
        <w:rPr>
          <w:rFonts w:ascii="Times New Roman" w:hAnsi="Times New Roman" w:cs="Times New Roman"/>
          <w:sz w:val="24"/>
          <w:szCs w:val="24"/>
          <w:lang w:val="sr-Cyrl-RS"/>
        </w:rPr>
        <w:t>ости.</w:t>
      </w:r>
    </w:p>
    <w:p w14:paraId="15335304" w14:textId="3435CCDE" w:rsidR="00637EC2" w:rsidRPr="005E0FDC" w:rsidRDefault="00637EC2" w:rsidP="005E0F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6609" w:type="dxa"/>
        <w:jc w:val="center"/>
        <w:tblLook w:val="04A0" w:firstRow="1" w:lastRow="0" w:firstColumn="1" w:lastColumn="0" w:noHBand="0" w:noVBand="1"/>
      </w:tblPr>
      <w:tblGrid>
        <w:gridCol w:w="5004"/>
        <w:gridCol w:w="1605"/>
      </w:tblGrid>
      <w:tr w:rsidR="005E0FDC" w:rsidRPr="005E0FDC" w14:paraId="53115877" w14:textId="77777777" w:rsidTr="00416188">
        <w:trPr>
          <w:trHeight w:val="548"/>
          <w:jc w:val="center"/>
        </w:trPr>
        <w:tc>
          <w:tcPr>
            <w:tcW w:w="5004" w:type="dxa"/>
            <w:vAlign w:val="center"/>
          </w:tcPr>
          <w:p w14:paraId="1EF8D43A" w14:textId="77777777" w:rsidR="004A34F1" w:rsidRPr="005E0FDC" w:rsidRDefault="00C21095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OLE_LINK1"/>
            <w:r w:rsidRPr="005E0FD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Врста активности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AF278CE" w14:textId="0504A543" w:rsidR="004A34F1" w:rsidRPr="005E0FDC" w:rsidRDefault="00CF2A2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5E0FDC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Бр</w:t>
            </w:r>
            <w:r w:rsidR="0062446F" w:rsidRPr="005E0FDC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ој</w:t>
            </w:r>
            <w:r w:rsidRPr="005E0FDC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</w:t>
            </w:r>
            <w:r w:rsidRPr="005E0FDC">
              <w:rPr>
                <w:rFonts w:ascii="Times New Roman" w:hAnsi="Times New Roman" w:cs="Times New Roman"/>
                <w:b/>
                <w:sz w:val="22"/>
                <w:szCs w:val="22"/>
                <w:lang w:val="sr-Latn-RS"/>
              </w:rPr>
              <w:t>IPPC</w:t>
            </w:r>
            <w:r w:rsidRPr="005E0FDC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постројења</w:t>
            </w:r>
          </w:p>
        </w:tc>
      </w:tr>
      <w:tr w:rsidR="005E0FDC" w:rsidRPr="005E0FDC" w14:paraId="6E228C10" w14:textId="77777777" w:rsidTr="00416188">
        <w:trPr>
          <w:jc w:val="center"/>
        </w:trPr>
        <w:tc>
          <w:tcPr>
            <w:tcW w:w="5004" w:type="dxa"/>
            <w:vAlign w:val="center"/>
          </w:tcPr>
          <w:p w14:paraId="5B7BC111" w14:textId="77777777" w:rsidR="004A34F1" w:rsidRPr="005E0FDC" w:rsidRDefault="00C21095" w:rsidP="005E0FDC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Енергетика</w:t>
            </w:r>
          </w:p>
        </w:tc>
        <w:tc>
          <w:tcPr>
            <w:tcW w:w="1605" w:type="dxa"/>
            <w:vAlign w:val="center"/>
          </w:tcPr>
          <w:p w14:paraId="35AAA256" w14:textId="77777777" w:rsidR="004A34F1" w:rsidRPr="005E0FDC" w:rsidRDefault="004A34F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5E0FDC" w:rsidRPr="005E0FDC" w14:paraId="20626914" w14:textId="77777777" w:rsidTr="00416188">
        <w:trPr>
          <w:jc w:val="center"/>
        </w:trPr>
        <w:tc>
          <w:tcPr>
            <w:tcW w:w="5004" w:type="dxa"/>
            <w:vAlign w:val="center"/>
          </w:tcPr>
          <w:p w14:paraId="3E644550" w14:textId="77777777" w:rsidR="004A34F1" w:rsidRPr="005E0FDC" w:rsidRDefault="00C21095" w:rsidP="005E0FDC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Производња и прерада метала</w:t>
            </w:r>
          </w:p>
        </w:tc>
        <w:tc>
          <w:tcPr>
            <w:tcW w:w="1605" w:type="dxa"/>
            <w:vAlign w:val="center"/>
          </w:tcPr>
          <w:p w14:paraId="27C3DF83" w14:textId="77777777" w:rsidR="004A34F1" w:rsidRPr="005E0FDC" w:rsidRDefault="004A34F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5E0FDC" w:rsidRPr="005E0FDC" w14:paraId="1B9459F6" w14:textId="77777777" w:rsidTr="00416188">
        <w:trPr>
          <w:jc w:val="center"/>
        </w:trPr>
        <w:tc>
          <w:tcPr>
            <w:tcW w:w="5004" w:type="dxa"/>
            <w:vAlign w:val="center"/>
          </w:tcPr>
          <w:p w14:paraId="7A65D87D" w14:textId="77777777" w:rsidR="004A34F1" w:rsidRPr="005E0FDC" w:rsidRDefault="00C21095" w:rsidP="005E0FDC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Индустрија минерала</w:t>
            </w:r>
          </w:p>
        </w:tc>
        <w:tc>
          <w:tcPr>
            <w:tcW w:w="1605" w:type="dxa"/>
            <w:vAlign w:val="center"/>
          </w:tcPr>
          <w:p w14:paraId="302F2467" w14:textId="77777777" w:rsidR="004A34F1" w:rsidRPr="005E0FDC" w:rsidRDefault="004A34F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5E0FDC" w:rsidRPr="005E0FDC" w14:paraId="2D36D4F8" w14:textId="77777777" w:rsidTr="00416188">
        <w:trPr>
          <w:jc w:val="center"/>
        </w:trPr>
        <w:tc>
          <w:tcPr>
            <w:tcW w:w="5004" w:type="dxa"/>
            <w:vAlign w:val="center"/>
          </w:tcPr>
          <w:p w14:paraId="254C0457" w14:textId="77777777" w:rsidR="004A34F1" w:rsidRPr="005E0FDC" w:rsidRDefault="00C21095" w:rsidP="005E0FDC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Хемијска индустрија</w:t>
            </w:r>
          </w:p>
        </w:tc>
        <w:tc>
          <w:tcPr>
            <w:tcW w:w="1605" w:type="dxa"/>
            <w:vAlign w:val="center"/>
          </w:tcPr>
          <w:p w14:paraId="704F4C81" w14:textId="77777777" w:rsidR="004A34F1" w:rsidRPr="005E0FDC" w:rsidRDefault="004A34F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5E0FDC" w:rsidRPr="005E0FDC" w14:paraId="4CCEBCE5" w14:textId="77777777" w:rsidTr="00416188">
        <w:trPr>
          <w:jc w:val="center"/>
        </w:trPr>
        <w:tc>
          <w:tcPr>
            <w:tcW w:w="5004" w:type="dxa"/>
            <w:vAlign w:val="center"/>
          </w:tcPr>
          <w:p w14:paraId="2B94FB59" w14:textId="77777777" w:rsidR="004A34F1" w:rsidRPr="005E0FDC" w:rsidRDefault="00C21095" w:rsidP="005E0FDC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Управљање отпадом</w:t>
            </w:r>
          </w:p>
        </w:tc>
        <w:tc>
          <w:tcPr>
            <w:tcW w:w="1605" w:type="dxa"/>
            <w:vAlign w:val="center"/>
          </w:tcPr>
          <w:p w14:paraId="0D7B433A" w14:textId="77777777" w:rsidR="004A34F1" w:rsidRPr="005E0FDC" w:rsidRDefault="004A34F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5E0FDC" w:rsidRPr="005E0FDC" w14:paraId="387DE8FC" w14:textId="77777777" w:rsidTr="00416188">
        <w:trPr>
          <w:jc w:val="center"/>
        </w:trPr>
        <w:tc>
          <w:tcPr>
            <w:tcW w:w="5004" w:type="dxa"/>
            <w:vAlign w:val="center"/>
          </w:tcPr>
          <w:p w14:paraId="32317934" w14:textId="77777777" w:rsidR="004A34F1" w:rsidRPr="005E0FDC" w:rsidRDefault="004A34F1" w:rsidP="005E0F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6.1 </w:t>
            </w:r>
            <w:r w:rsidR="00C21095" w:rsidRPr="005E0FD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Индустрија папира, картона, дрвених панела</w:t>
            </w:r>
          </w:p>
        </w:tc>
        <w:tc>
          <w:tcPr>
            <w:tcW w:w="1605" w:type="dxa"/>
            <w:vAlign w:val="center"/>
          </w:tcPr>
          <w:p w14:paraId="2F039BD4" w14:textId="77777777" w:rsidR="004A34F1" w:rsidRPr="005E0FDC" w:rsidRDefault="004A34F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E0FDC" w:rsidRPr="005E0FDC" w14:paraId="4B969BB3" w14:textId="77777777" w:rsidTr="00416188">
        <w:trPr>
          <w:jc w:val="center"/>
        </w:trPr>
        <w:tc>
          <w:tcPr>
            <w:tcW w:w="5004" w:type="dxa"/>
            <w:vAlign w:val="center"/>
          </w:tcPr>
          <w:p w14:paraId="515FE4A3" w14:textId="77777777" w:rsidR="004A34F1" w:rsidRPr="005E0FDC" w:rsidRDefault="004A34F1" w:rsidP="005E0F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6.4 </w:t>
            </w:r>
            <w:r w:rsidR="00C21095" w:rsidRPr="005E0FD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Индустрија млека, меса и прехрамбена индустриј</w:t>
            </w:r>
            <w:r w:rsidRPr="005E0FDC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a</w:t>
            </w:r>
          </w:p>
        </w:tc>
        <w:tc>
          <w:tcPr>
            <w:tcW w:w="1605" w:type="dxa"/>
            <w:vAlign w:val="center"/>
          </w:tcPr>
          <w:p w14:paraId="66D319EE" w14:textId="77777777" w:rsidR="004A34F1" w:rsidRPr="005E0FDC" w:rsidRDefault="004A34F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5E0FDC" w:rsidRPr="005E0FDC" w14:paraId="57E368AB" w14:textId="77777777" w:rsidTr="00416188">
        <w:trPr>
          <w:jc w:val="center"/>
        </w:trPr>
        <w:tc>
          <w:tcPr>
            <w:tcW w:w="5004" w:type="dxa"/>
            <w:vAlign w:val="center"/>
          </w:tcPr>
          <w:p w14:paraId="6BDFEC81" w14:textId="77777777" w:rsidR="004A34F1" w:rsidRPr="005E0FDC" w:rsidRDefault="004A34F1" w:rsidP="005E0F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6.5 </w:t>
            </w:r>
            <w:r w:rsidR="00C21095" w:rsidRPr="005E0FD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Прерада споредних производа животињског порекла</w:t>
            </w:r>
          </w:p>
        </w:tc>
        <w:tc>
          <w:tcPr>
            <w:tcW w:w="1605" w:type="dxa"/>
            <w:vAlign w:val="center"/>
          </w:tcPr>
          <w:p w14:paraId="0880FFD6" w14:textId="77777777" w:rsidR="004A34F1" w:rsidRPr="005E0FDC" w:rsidRDefault="004A34F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E0FDC" w:rsidRPr="005E0FDC" w14:paraId="50FBE5E9" w14:textId="77777777" w:rsidTr="00416188">
        <w:trPr>
          <w:jc w:val="center"/>
        </w:trPr>
        <w:tc>
          <w:tcPr>
            <w:tcW w:w="5004" w:type="dxa"/>
            <w:vAlign w:val="center"/>
          </w:tcPr>
          <w:p w14:paraId="4A333D3D" w14:textId="77777777" w:rsidR="004A34F1" w:rsidRPr="005E0FDC" w:rsidRDefault="004A34F1" w:rsidP="005E0F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6.6 </w:t>
            </w:r>
            <w:r w:rsidR="00C21095" w:rsidRPr="005E0FD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Интензиван узгој живине и свиња</w:t>
            </w:r>
          </w:p>
        </w:tc>
        <w:tc>
          <w:tcPr>
            <w:tcW w:w="1605" w:type="dxa"/>
            <w:vAlign w:val="center"/>
          </w:tcPr>
          <w:p w14:paraId="2AC13430" w14:textId="77777777" w:rsidR="004A34F1" w:rsidRPr="005E0FDC" w:rsidRDefault="004A34F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5E0FDC" w:rsidRPr="005E0FDC" w14:paraId="2D4A36A4" w14:textId="77777777" w:rsidTr="00416188">
        <w:trPr>
          <w:jc w:val="center"/>
        </w:trPr>
        <w:tc>
          <w:tcPr>
            <w:tcW w:w="5004" w:type="dxa"/>
            <w:vAlign w:val="center"/>
          </w:tcPr>
          <w:p w14:paraId="6AAFF8A1" w14:textId="77777777" w:rsidR="004A34F1" w:rsidRPr="005E0FDC" w:rsidRDefault="004A34F1" w:rsidP="005E0F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6.7 </w:t>
            </w:r>
            <w:r w:rsidR="00C21095" w:rsidRPr="005E0FD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Површинска обрада</w:t>
            </w:r>
          </w:p>
        </w:tc>
        <w:tc>
          <w:tcPr>
            <w:tcW w:w="1605" w:type="dxa"/>
            <w:vAlign w:val="center"/>
          </w:tcPr>
          <w:p w14:paraId="7BE22249" w14:textId="77777777" w:rsidR="004A34F1" w:rsidRPr="005E0FDC" w:rsidRDefault="004A34F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E0FDC" w:rsidRPr="005E0FDC" w14:paraId="7FDEACC2" w14:textId="77777777" w:rsidTr="00416188">
        <w:trPr>
          <w:jc w:val="center"/>
        </w:trPr>
        <w:tc>
          <w:tcPr>
            <w:tcW w:w="5004" w:type="dxa"/>
            <w:vAlign w:val="center"/>
          </w:tcPr>
          <w:p w14:paraId="131F0F9E" w14:textId="77777777" w:rsidR="004A34F1" w:rsidRPr="005E0FDC" w:rsidRDefault="004A34F1" w:rsidP="005E0F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6.10 </w:t>
            </w:r>
            <w:r w:rsidR="00C21095" w:rsidRPr="005E0FD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Заштита дрвета и производа од дрвета хемикалијама</w:t>
            </w:r>
          </w:p>
        </w:tc>
        <w:tc>
          <w:tcPr>
            <w:tcW w:w="1605" w:type="dxa"/>
            <w:vAlign w:val="center"/>
          </w:tcPr>
          <w:p w14:paraId="29A6D24D" w14:textId="77777777" w:rsidR="004A34F1" w:rsidRPr="005E0FDC" w:rsidRDefault="004A34F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0FDC" w:rsidRPr="005E0FDC" w14:paraId="2194BDD3" w14:textId="77777777" w:rsidTr="00416188">
        <w:trPr>
          <w:jc w:val="center"/>
        </w:trPr>
        <w:tc>
          <w:tcPr>
            <w:tcW w:w="5004" w:type="dxa"/>
            <w:vAlign w:val="center"/>
          </w:tcPr>
          <w:p w14:paraId="1C96980C" w14:textId="77777777" w:rsidR="004A34F1" w:rsidRPr="005E0FDC" w:rsidRDefault="00C21095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605" w:type="dxa"/>
            <w:vAlign w:val="center"/>
          </w:tcPr>
          <w:p w14:paraId="5853CAB7" w14:textId="77777777" w:rsidR="004A34F1" w:rsidRPr="005E0FDC" w:rsidRDefault="004A34F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0F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220</w:t>
            </w:r>
          </w:p>
        </w:tc>
      </w:tr>
    </w:tbl>
    <w:bookmarkEnd w:id="4"/>
    <w:p w14:paraId="7DED4FC1" w14:textId="73DCB001" w:rsidR="00F43CF6" w:rsidRPr="005E0FDC" w:rsidRDefault="00F43CF6" w:rsidP="005E0FDC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0FDC">
        <w:rPr>
          <w:rFonts w:ascii="Times New Roman" w:hAnsi="Times New Roman" w:cs="Times New Roman"/>
          <w:sz w:val="20"/>
          <w:szCs w:val="20"/>
          <w:lang w:val="sr-Cyrl-RS"/>
        </w:rPr>
        <w:t>Табела 1. Приказ броја постројења у односу на индустријску активност</w:t>
      </w:r>
    </w:p>
    <w:p w14:paraId="21AF7104" w14:textId="77777777" w:rsidR="00DC468E" w:rsidRPr="005E0FDC" w:rsidRDefault="00DC468E" w:rsidP="005E0FDC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sr-Cyrl-RS" w:eastAsia="sr-Latn-RS"/>
        </w:rPr>
        <w:br w:type="page"/>
      </w:r>
    </w:p>
    <w:p w14:paraId="5BB3708E" w14:textId="16716DC6" w:rsidR="07FD9BFB" w:rsidRPr="005E0FDC" w:rsidRDefault="07FD9BFB" w:rsidP="005E0FDC">
      <w:pPr>
        <w:spacing w:before="1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sr-Latn-RS"/>
        </w:rPr>
      </w:pPr>
      <w:r w:rsidRPr="005E0FD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sr-Cyrl-RS" w:eastAsia="sr-Latn-RS"/>
        </w:rPr>
        <w:lastRenderedPageBreak/>
        <w:t xml:space="preserve">1.2.2 Број издатих интегрисаних дозвола </w:t>
      </w:r>
    </w:p>
    <w:p w14:paraId="43EFF5E1" w14:textId="776A4967" w:rsidR="004A34F1" w:rsidRPr="005E0FDC" w:rsidRDefault="07FD9BFB" w:rsidP="005E0F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>Од почетка примене З</w:t>
      </w:r>
      <w:r w:rsidRPr="005E0FDC">
        <w:rPr>
          <w:rFonts w:ascii="Times New Roman" w:hAnsi="Times New Roman" w:cs="Times New Roman"/>
          <w:sz w:val="24"/>
          <w:szCs w:val="24"/>
        </w:rPr>
        <w:t>акон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а о интегрисаном спречавању и контроли загађивања животне средине, укупно је издато 5</w:t>
      </w:r>
      <w:r w:rsidR="00AE19FD" w:rsidRPr="005E0FDC">
        <w:rPr>
          <w:rFonts w:ascii="Times New Roman" w:hAnsi="Times New Roman" w:cs="Times New Roman"/>
          <w:sz w:val="24"/>
          <w:szCs w:val="24"/>
        </w:rPr>
        <w:t>7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</w:rPr>
        <w:t>интегрисаних дозвола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E0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BECB2" w14:textId="2EE71026" w:rsidR="07FD9BFB" w:rsidRPr="005E0FDC" w:rsidRDefault="07FD9BFB" w:rsidP="005E0F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30C01" w14:textId="19575F37" w:rsidR="07FD9BFB" w:rsidRPr="005E0FDC" w:rsidRDefault="00D01842" w:rsidP="005E0F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C468E" w:rsidRPr="005E0FD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абели 2. </w:t>
      </w:r>
      <w:r w:rsidR="00DC468E" w:rsidRPr="005E0FDC">
        <w:rPr>
          <w:rFonts w:ascii="Times New Roman" w:hAnsi="Times New Roman" w:cs="Times New Roman"/>
          <w:sz w:val="24"/>
          <w:szCs w:val="24"/>
          <w:lang w:val="sr-Cyrl-RS"/>
        </w:rPr>
        <w:t>дат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5C7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приказ удел</w:t>
      </w:r>
      <w:r w:rsidR="00D425C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издатих интегрисаних дозвола </w:t>
      </w:r>
      <w:r w:rsidR="001B140B" w:rsidRPr="005E0FDC">
        <w:rPr>
          <w:rFonts w:ascii="Times New Roman" w:hAnsi="Times New Roman" w:cs="Times New Roman"/>
          <w:sz w:val="24"/>
          <w:szCs w:val="24"/>
          <w:lang w:val="sr-Cyrl-RS"/>
        </w:rPr>
        <w:t>изражен у процентима</w:t>
      </w:r>
      <w:r w:rsidR="00C217E5"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="00C217E5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односу на индустријски сектор </w:t>
      </w:r>
      <w:r w:rsidR="00D425C7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по врсти активности</w:t>
      </w:r>
      <w:r w:rsidR="00D425C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78FB8D7" w14:textId="77777777" w:rsidR="00F32DB7" w:rsidRPr="005E0FDC" w:rsidRDefault="00F32DB7" w:rsidP="005E0F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5575" w:type="dxa"/>
        <w:jc w:val="center"/>
        <w:tblLayout w:type="fixed"/>
        <w:tblLook w:val="04A0" w:firstRow="1" w:lastRow="0" w:firstColumn="1" w:lastColumn="0" w:noHBand="0" w:noVBand="1"/>
      </w:tblPr>
      <w:tblGrid>
        <w:gridCol w:w="3078"/>
        <w:gridCol w:w="2497"/>
      </w:tblGrid>
      <w:tr w:rsidR="005E0FDC" w:rsidRPr="005E0FDC" w14:paraId="4615883C" w14:textId="77777777" w:rsidTr="008D1B91">
        <w:trPr>
          <w:trHeight w:val="317"/>
          <w:jc w:val="center"/>
        </w:trPr>
        <w:tc>
          <w:tcPr>
            <w:tcW w:w="3078" w:type="dxa"/>
            <w:vMerge w:val="restart"/>
            <w:vAlign w:val="center"/>
          </w:tcPr>
          <w:p w14:paraId="2BFC2A8C" w14:textId="77777777" w:rsidR="008D1B91" w:rsidRPr="005E0FDC" w:rsidRDefault="008D1B9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FDC">
              <w:rPr>
                <w:rFonts w:ascii="Times New Roman" w:hAnsi="Times New Roman" w:cs="Times New Roman"/>
                <w:b/>
                <w:bCs/>
                <w:lang w:val="sr-Cyrl-RS"/>
              </w:rPr>
              <w:t>Врста активности</w:t>
            </w:r>
          </w:p>
        </w:tc>
        <w:tc>
          <w:tcPr>
            <w:tcW w:w="2497" w:type="dxa"/>
            <w:vMerge w:val="restart"/>
            <w:vAlign w:val="center"/>
          </w:tcPr>
          <w:p w14:paraId="6CA62710" w14:textId="535D6BAC" w:rsidR="008D1B91" w:rsidRPr="005E0FDC" w:rsidRDefault="008D1B9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E0FDC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Удео издатих дозвола по </w:t>
            </w:r>
            <w:r w:rsidR="007844F1" w:rsidRPr="005E0FDC">
              <w:rPr>
                <w:rFonts w:ascii="Times New Roman" w:hAnsi="Times New Roman" w:cs="Times New Roman"/>
                <w:b/>
                <w:bCs/>
                <w:lang w:val="sr-Cyrl-RS"/>
              </w:rPr>
              <w:t>активностима</w:t>
            </w:r>
          </w:p>
          <w:p w14:paraId="3D356FF9" w14:textId="1529A19E" w:rsidR="008D1B91" w:rsidRPr="005E0FDC" w:rsidDel="00252E53" w:rsidRDefault="001B140B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E0FDC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8D1B91" w:rsidRPr="005E0FDC">
              <w:rPr>
                <w:rFonts w:ascii="Times New Roman" w:hAnsi="Times New Roman" w:cs="Times New Roman"/>
                <w:b/>
                <w:bCs/>
              </w:rPr>
              <w:t>%</w:t>
            </w:r>
            <w:r w:rsidRPr="005E0FDC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</w:tr>
      <w:tr w:rsidR="005E0FDC" w:rsidRPr="005E0FDC" w14:paraId="5C4E8769" w14:textId="77777777" w:rsidTr="008D1B91">
        <w:trPr>
          <w:trHeight w:val="317"/>
          <w:jc w:val="center"/>
        </w:trPr>
        <w:tc>
          <w:tcPr>
            <w:tcW w:w="3078" w:type="dxa"/>
            <w:vMerge/>
          </w:tcPr>
          <w:p w14:paraId="43184B66" w14:textId="77777777" w:rsidR="008D1B91" w:rsidRPr="005E0FDC" w:rsidRDefault="008D1B91" w:rsidP="005E0FD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540B9B38" w14:textId="77777777" w:rsidR="008D1B91" w:rsidRPr="005E0FDC" w:rsidRDefault="008D1B91" w:rsidP="005E0FD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0FDC" w:rsidRPr="005E0FDC" w14:paraId="34BC402F" w14:textId="77777777" w:rsidTr="008D1B91">
        <w:trPr>
          <w:jc w:val="center"/>
        </w:trPr>
        <w:tc>
          <w:tcPr>
            <w:tcW w:w="3078" w:type="dxa"/>
          </w:tcPr>
          <w:p w14:paraId="4BADBFB4" w14:textId="77777777" w:rsidR="008D1B91" w:rsidRPr="005E0FDC" w:rsidRDefault="008D1B91" w:rsidP="005E0FD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E0FDC">
              <w:rPr>
                <w:rFonts w:ascii="Times New Roman" w:hAnsi="Times New Roman" w:cs="Times New Roman"/>
                <w:lang w:val="sr-Cyrl-RS"/>
              </w:rPr>
              <w:t>Енергетика</w:t>
            </w:r>
          </w:p>
        </w:tc>
        <w:tc>
          <w:tcPr>
            <w:tcW w:w="2497" w:type="dxa"/>
          </w:tcPr>
          <w:p w14:paraId="4A6235F1" w14:textId="77777777" w:rsidR="008D1B91" w:rsidRPr="005E0FDC" w:rsidRDefault="008D1B9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0FDC"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</w:tr>
      <w:tr w:rsidR="005E0FDC" w:rsidRPr="005E0FDC" w14:paraId="656C5380" w14:textId="77777777" w:rsidTr="008D1B91">
        <w:trPr>
          <w:jc w:val="center"/>
        </w:trPr>
        <w:tc>
          <w:tcPr>
            <w:tcW w:w="3078" w:type="dxa"/>
          </w:tcPr>
          <w:p w14:paraId="34F7188D" w14:textId="77777777" w:rsidR="008D1B91" w:rsidRPr="005E0FDC" w:rsidRDefault="008D1B91" w:rsidP="005E0FDC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E0FDC">
              <w:rPr>
                <w:rFonts w:ascii="Times New Roman" w:hAnsi="Times New Roman" w:cs="Times New Roman"/>
                <w:lang w:val="sr-Cyrl-RS"/>
              </w:rPr>
              <w:t>Производња и прерада метала</w:t>
            </w:r>
          </w:p>
        </w:tc>
        <w:tc>
          <w:tcPr>
            <w:tcW w:w="2497" w:type="dxa"/>
            <w:vAlign w:val="center"/>
          </w:tcPr>
          <w:p w14:paraId="3C6AB9F2" w14:textId="790FB588" w:rsidR="008D1B91" w:rsidRPr="005E0FDC" w:rsidRDefault="008D1B91" w:rsidP="005E0F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0FDC">
              <w:rPr>
                <w:rFonts w:ascii="Times New Roman" w:hAnsi="Times New Roman" w:cs="Times New Roman"/>
              </w:rPr>
              <w:t>3</w:t>
            </w:r>
            <w:r w:rsidRPr="005E0FDC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5E0FDC" w:rsidRPr="005E0FDC" w14:paraId="51794778" w14:textId="77777777" w:rsidTr="008D1B91">
        <w:trPr>
          <w:jc w:val="center"/>
        </w:trPr>
        <w:tc>
          <w:tcPr>
            <w:tcW w:w="3078" w:type="dxa"/>
          </w:tcPr>
          <w:p w14:paraId="07CC467F" w14:textId="77777777" w:rsidR="008D1B91" w:rsidRPr="005E0FDC" w:rsidRDefault="008D1B91" w:rsidP="005E0FDC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E0FDC">
              <w:rPr>
                <w:rFonts w:ascii="Times New Roman" w:hAnsi="Times New Roman" w:cs="Times New Roman"/>
                <w:lang w:val="sr-Cyrl-RS"/>
              </w:rPr>
              <w:t>Индустрија минерала</w:t>
            </w:r>
          </w:p>
        </w:tc>
        <w:tc>
          <w:tcPr>
            <w:tcW w:w="2497" w:type="dxa"/>
          </w:tcPr>
          <w:p w14:paraId="2FB86EA4" w14:textId="77777777" w:rsidR="008D1B91" w:rsidRPr="005E0FDC" w:rsidRDefault="008D1B91" w:rsidP="005E0F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0FDC">
              <w:rPr>
                <w:rFonts w:ascii="Times New Roman" w:hAnsi="Times New Roman" w:cs="Times New Roman"/>
              </w:rPr>
              <w:t>52</w:t>
            </w:r>
          </w:p>
        </w:tc>
      </w:tr>
      <w:tr w:rsidR="005E0FDC" w:rsidRPr="005E0FDC" w14:paraId="793F45BC" w14:textId="77777777" w:rsidTr="008D1B91">
        <w:trPr>
          <w:jc w:val="center"/>
        </w:trPr>
        <w:tc>
          <w:tcPr>
            <w:tcW w:w="3078" w:type="dxa"/>
          </w:tcPr>
          <w:p w14:paraId="34B7A1C8" w14:textId="77777777" w:rsidR="008D1B91" w:rsidRPr="005E0FDC" w:rsidRDefault="008D1B91" w:rsidP="005E0FDC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E0FDC">
              <w:rPr>
                <w:rFonts w:ascii="Times New Roman" w:hAnsi="Times New Roman" w:cs="Times New Roman"/>
                <w:lang w:val="sr-Cyrl-RS"/>
              </w:rPr>
              <w:t>Хемијска индустрија</w:t>
            </w:r>
          </w:p>
        </w:tc>
        <w:tc>
          <w:tcPr>
            <w:tcW w:w="2497" w:type="dxa"/>
          </w:tcPr>
          <w:p w14:paraId="56CFB428" w14:textId="77777777" w:rsidR="008D1B91" w:rsidRPr="005E0FDC" w:rsidRDefault="008D1B9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0FDC">
              <w:rPr>
                <w:rFonts w:ascii="Times New Roman" w:hAnsi="Times New Roman" w:cs="Times New Roman"/>
                <w:lang w:val="sr-Cyrl-RS"/>
              </w:rPr>
              <w:t>45</w:t>
            </w:r>
          </w:p>
        </w:tc>
      </w:tr>
      <w:tr w:rsidR="005E0FDC" w:rsidRPr="005E0FDC" w14:paraId="1A2E2ECB" w14:textId="77777777" w:rsidTr="008D1B91">
        <w:trPr>
          <w:jc w:val="center"/>
        </w:trPr>
        <w:tc>
          <w:tcPr>
            <w:tcW w:w="3078" w:type="dxa"/>
          </w:tcPr>
          <w:p w14:paraId="0B632A05" w14:textId="77777777" w:rsidR="008D1B91" w:rsidRPr="005E0FDC" w:rsidRDefault="008D1B91" w:rsidP="005E0FDC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E0FDC">
              <w:rPr>
                <w:rFonts w:ascii="Times New Roman" w:hAnsi="Times New Roman" w:cs="Times New Roman"/>
                <w:lang w:val="sr-Cyrl-RS"/>
              </w:rPr>
              <w:t>Управљање отпадом</w:t>
            </w:r>
            <w:r w:rsidRPr="005E0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14:paraId="71BA7BD9" w14:textId="77777777" w:rsidR="008D1B91" w:rsidRPr="005E0FDC" w:rsidRDefault="008D1B91" w:rsidP="005E0F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0FDC">
              <w:rPr>
                <w:rFonts w:ascii="Times New Roman" w:hAnsi="Times New Roman" w:cs="Times New Roman"/>
              </w:rPr>
              <w:t>23</w:t>
            </w:r>
          </w:p>
        </w:tc>
      </w:tr>
      <w:tr w:rsidR="005E0FDC" w:rsidRPr="005E0FDC" w14:paraId="2C14B0AF" w14:textId="77777777" w:rsidTr="008D1B91">
        <w:trPr>
          <w:jc w:val="center"/>
        </w:trPr>
        <w:tc>
          <w:tcPr>
            <w:tcW w:w="3078" w:type="dxa"/>
          </w:tcPr>
          <w:p w14:paraId="78C5D811" w14:textId="77777777" w:rsidR="008D1B91" w:rsidRPr="005E0FDC" w:rsidRDefault="008D1B91" w:rsidP="005E0FDC">
            <w:pPr>
              <w:spacing w:line="276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5E0FDC">
              <w:rPr>
                <w:rFonts w:ascii="Times New Roman" w:hAnsi="Times New Roman" w:cs="Times New Roman"/>
                <w:lang w:val="sr-Latn-RS"/>
              </w:rPr>
              <w:t xml:space="preserve">6.1 </w:t>
            </w:r>
            <w:r w:rsidRPr="005E0FDC">
              <w:rPr>
                <w:rFonts w:ascii="Times New Roman" w:hAnsi="Times New Roman" w:cs="Times New Roman"/>
                <w:lang w:val="sr-Cyrl-RS"/>
              </w:rPr>
              <w:t>Индустрија папира, картона, дрвених панела</w:t>
            </w:r>
          </w:p>
        </w:tc>
        <w:tc>
          <w:tcPr>
            <w:tcW w:w="2497" w:type="dxa"/>
            <w:vAlign w:val="center"/>
          </w:tcPr>
          <w:p w14:paraId="1A042539" w14:textId="77777777" w:rsidR="008D1B91" w:rsidRPr="005E0FDC" w:rsidRDefault="008D1B91" w:rsidP="005E0F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0FDC">
              <w:rPr>
                <w:rFonts w:ascii="Times New Roman" w:hAnsi="Times New Roman" w:cs="Times New Roman"/>
              </w:rPr>
              <w:t>25</w:t>
            </w:r>
          </w:p>
        </w:tc>
      </w:tr>
      <w:tr w:rsidR="005E0FDC" w:rsidRPr="005E0FDC" w14:paraId="556B8FB9" w14:textId="77777777" w:rsidTr="008D1B91">
        <w:trPr>
          <w:jc w:val="center"/>
        </w:trPr>
        <w:tc>
          <w:tcPr>
            <w:tcW w:w="3078" w:type="dxa"/>
          </w:tcPr>
          <w:p w14:paraId="30CAED29" w14:textId="77777777" w:rsidR="008D1B91" w:rsidRPr="005E0FDC" w:rsidRDefault="008D1B91" w:rsidP="005E0FDC">
            <w:pPr>
              <w:spacing w:line="276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5E0FDC">
              <w:rPr>
                <w:rFonts w:ascii="Times New Roman" w:hAnsi="Times New Roman" w:cs="Times New Roman"/>
                <w:lang w:val="sr-Latn-RS"/>
              </w:rPr>
              <w:t xml:space="preserve">6.4 </w:t>
            </w:r>
            <w:r w:rsidRPr="005E0FDC">
              <w:rPr>
                <w:rFonts w:ascii="Times New Roman" w:hAnsi="Times New Roman" w:cs="Times New Roman"/>
                <w:lang w:val="sr-Cyrl-RS"/>
              </w:rPr>
              <w:t>Индустрија млека, меса и прехрамбена индустрија</w:t>
            </w:r>
            <w:r w:rsidRPr="005E0FDC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2497" w:type="dxa"/>
            <w:vAlign w:val="center"/>
          </w:tcPr>
          <w:p w14:paraId="5D3856EC" w14:textId="692CA6B1" w:rsidR="008D1B91" w:rsidRPr="005E0FDC" w:rsidRDefault="008D1B91" w:rsidP="005E0FDC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E0FDC">
              <w:rPr>
                <w:rFonts w:ascii="Times New Roman" w:hAnsi="Times New Roman" w:cs="Times New Roman"/>
              </w:rPr>
              <w:t>3</w:t>
            </w:r>
            <w:r w:rsidR="00F43CF6" w:rsidRPr="005E0FD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5E0FDC" w:rsidRPr="005E0FDC" w14:paraId="2DE7EDA1" w14:textId="77777777" w:rsidTr="008D1B91">
        <w:trPr>
          <w:jc w:val="center"/>
        </w:trPr>
        <w:tc>
          <w:tcPr>
            <w:tcW w:w="3078" w:type="dxa"/>
          </w:tcPr>
          <w:p w14:paraId="1A758CF1" w14:textId="77777777" w:rsidR="008D1B91" w:rsidRPr="005E0FDC" w:rsidRDefault="008D1B91" w:rsidP="005E0FDC">
            <w:pPr>
              <w:spacing w:line="276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5E0FDC">
              <w:rPr>
                <w:rFonts w:ascii="Times New Roman" w:hAnsi="Times New Roman" w:cs="Times New Roman"/>
                <w:lang w:val="sr-Latn-RS"/>
              </w:rPr>
              <w:t xml:space="preserve">6.5 </w:t>
            </w:r>
            <w:r w:rsidRPr="005E0FDC">
              <w:rPr>
                <w:rFonts w:ascii="Times New Roman" w:hAnsi="Times New Roman" w:cs="Times New Roman"/>
                <w:lang w:val="sr-Cyrl-RS"/>
              </w:rPr>
              <w:t>Прерада споредних производа животињског порекла</w:t>
            </w:r>
            <w:r w:rsidRPr="005E0FDC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2497" w:type="dxa"/>
            <w:vAlign w:val="center"/>
          </w:tcPr>
          <w:p w14:paraId="5781E981" w14:textId="77777777" w:rsidR="008D1B91" w:rsidRPr="005E0FDC" w:rsidRDefault="008D1B91" w:rsidP="005E0F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0FDC">
              <w:rPr>
                <w:rFonts w:ascii="Times New Roman" w:hAnsi="Times New Roman" w:cs="Times New Roman"/>
              </w:rPr>
              <w:t>33</w:t>
            </w:r>
          </w:p>
        </w:tc>
      </w:tr>
      <w:tr w:rsidR="005E0FDC" w:rsidRPr="005E0FDC" w14:paraId="4978CE91" w14:textId="77777777" w:rsidTr="008D1B91">
        <w:trPr>
          <w:jc w:val="center"/>
        </w:trPr>
        <w:tc>
          <w:tcPr>
            <w:tcW w:w="3078" w:type="dxa"/>
          </w:tcPr>
          <w:p w14:paraId="35940551" w14:textId="77777777" w:rsidR="008D1B91" w:rsidRPr="005E0FDC" w:rsidRDefault="008D1B91" w:rsidP="005E0FDC">
            <w:pPr>
              <w:spacing w:line="276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5E0FDC">
              <w:rPr>
                <w:rFonts w:ascii="Times New Roman" w:hAnsi="Times New Roman" w:cs="Times New Roman"/>
                <w:lang w:val="sr-Latn-RS"/>
              </w:rPr>
              <w:t xml:space="preserve">6.6 </w:t>
            </w:r>
            <w:r w:rsidRPr="005E0FDC">
              <w:rPr>
                <w:rFonts w:ascii="Times New Roman" w:hAnsi="Times New Roman" w:cs="Times New Roman"/>
                <w:lang w:val="sr-Cyrl-RS"/>
              </w:rPr>
              <w:t>Интензиван узгој живине и свиња</w:t>
            </w:r>
          </w:p>
        </w:tc>
        <w:tc>
          <w:tcPr>
            <w:tcW w:w="2497" w:type="dxa"/>
            <w:vAlign w:val="center"/>
          </w:tcPr>
          <w:p w14:paraId="4A08AA44" w14:textId="77777777" w:rsidR="008D1B91" w:rsidRPr="005E0FDC" w:rsidRDefault="008D1B91" w:rsidP="005E0F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0FDC">
              <w:rPr>
                <w:rFonts w:ascii="Times New Roman" w:hAnsi="Times New Roman" w:cs="Times New Roman"/>
              </w:rPr>
              <w:t>12</w:t>
            </w:r>
          </w:p>
        </w:tc>
      </w:tr>
      <w:tr w:rsidR="005E0FDC" w:rsidRPr="005E0FDC" w14:paraId="1B1F16BC" w14:textId="77777777" w:rsidTr="008D1B91">
        <w:trPr>
          <w:jc w:val="center"/>
        </w:trPr>
        <w:tc>
          <w:tcPr>
            <w:tcW w:w="3078" w:type="dxa"/>
          </w:tcPr>
          <w:p w14:paraId="3A995EAD" w14:textId="77777777" w:rsidR="008D1B91" w:rsidRPr="005E0FDC" w:rsidRDefault="008D1B91" w:rsidP="005E0F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0FDC">
              <w:rPr>
                <w:rFonts w:ascii="Times New Roman" w:hAnsi="Times New Roman" w:cs="Times New Roman"/>
              </w:rPr>
              <w:t xml:space="preserve">6.7 </w:t>
            </w:r>
            <w:r w:rsidRPr="005E0FDC">
              <w:rPr>
                <w:rFonts w:ascii="Times New Roman" w:hAnsi="Times New Roman" w:cs="Times New Roman"/>
                <w:lang w:val="sr-Cyrl-RS"/>
              </w:rPr>
              <w:t>Површинска обрада</w:t>
            </w:r>
            <w:r w:rsidRPr="005E0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14:paraId="023735FF" w14:textId="77777777" w:rsidR="008D1B91" w:rsidRPr="005E0FDC" w:rsidRDefault="008D1B91" w:rsidP="005E0F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0FDC">
              <w:rPr>
                <w:rFonts w:ascii="Times New Roman" w:hAnsi="Times New Roman" w:cs="Times New Roman"/>
              </w:rPr>
              <w:t>0</w:t>
            </w:r>
          </w:p>
        </w:tc>
      </w:tr>
    </w:tbl>
    <w:p w14:paraId="4A6D8E0B" w14:textId="2B9301CB" w:rsidR="00D03026" w:rsidRPr="005E0FDC" w:rsidRDefault="00D01842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0FDC">
        <w:rPr>
          <w:rFonts w:ascii="Times New Roman" w:hAnsi="Times New Roman" w:cs="Times New Roman"/>
          <w:sz w:val="20"/>
          <w:szCs w:val="20"/>
          <w:lang w:val="sr-Cyrl-RS"/>
        </w:rPr>
        <w:t>Табела 2. Приказ удела издатих дозвола по активностима</w:t>
      </w:r>
    </w:p>
    <w:p w14:paraId="5FB8AEE6" w14:textId="77777777" w:rsidR="00C217E5" w:rsidRPr="005E0FDC" w:rsidRDefault="00C217E5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4BC4618" w14:textId="77777777" w:rsidR="00C217E5" w:rsidRPr="005E0FDC" w:rsidRDefault="00C217E5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A8B37D6" w14:textId="77777777" w:rsidR="00C217E5" w:rsidRPr="005E0FDC" w:rsidRDefault="00C217E5" w:rsidP="005E0FD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43303E6" w14:textId="77777777" w:rsidR="00C217E5" w:rsidRDefault="00C217E5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1DB6325" w14:textId="77777777" w:rsidR="00D425C7" w:rsidRDefault="00D425C7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5726F76" w14:textId="77777777" w:rsidR="00D425C7" w:rsidRDefault="00D425C7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D5BCD0B" w14:textId="77777777" w:rsidR="00D425C7" w:rsidRDefault="00D425C7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CFFEF2E" w14:textId="77777777" w:rsidR="00D425C7" w:rsidRDefault="00D425C7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F09195B" w14:textId="77777777" w:rsidR="00D425C7" w:rsidRDefault="00D425C7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1C9BF6B" w14:textId="77777777" w:rsidR="00D425C7" w:rsidRDefault="00D425C7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A681418" w14:textId="77777777" w:rsidR="00D425C7" w:rsidRDefault="00D425C7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41DE899" w14:textId="77777777" w:rsidR="00D425C7" w:rsidRDefault="00D425C7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E18F787" w14:textId="77777777" w:rsidR="00D425C7" w:rsidRDefault="00D425C7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81FE2C5" w14:textId="77777777" w:rsidR="00D425C7" w:rsidRDefault="00D425C7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2319AD5" w14:textId="77777777" w:rsidR="00D425C7" w:rsidRPr="005E0FDC" w:rsidRDefault="00D425C7" w:rsidP="005E0FD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B08BEC5" w14:textId="2ED18847" w:rsidR="00DE002D" w:rsidRPr="005E0FDC" w:rsidRDefault="00920BB6" w:rsidP="005E0FDC">
      <w:pPr>
        <w:spacing w:line="276" w:lineRule="auto"/>
        <w:jc w:val="both"/>
        <w:rPr>
          <w:rFonts w:ascii="Times New Roman" w:eastAsia="Aptos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lastRenderedPageBreak/>
        <w:t xml:space="preserve">Просечан број издатих интегрисаних дозвола </w:t>
      </w:r>
      <w:r w:rsidR="00D425C7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по години </w:t>
      </w:r>
      <w:r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(убројане </w:t>
      </w:r>
      <w:r w:rsidR="009B72A5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>су нове</w:t>
      </w:r>
      <w:r w:rsidR="00D425C7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 дозволе</w:t>
      </w:r>
      <w:r w:rsidR="009B72A5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>, реви</w:t>
      </w:r>
      <w:r w:rsidR="00D425C7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доване дозволе </w:t>
      </w:r>
      <w:r w:rsidR="006C7BE9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и дозволе које су издате по други пут) по надлежним </w:t>
      </w:r>
      <w:r w:rsidR="00387A1E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>органима</w:t>
      </w:r>
      <w:r w:rsidR="00D425C7">
        <w:rPr>
          <w:rFonts w:ascii="Times New Roman" w:eastAsia="Aptos" w:hAnsi="Times New Roman" w:cs="Times New Roman"/>
          <w:sz w:val="24"/>
          <w:szCs w:val="24"/>
          <w:lang w:val="sr-Cyrl-RS"/>
        </w:rPr>
        <w:t>,</w:t>
      </w:r>
      <w:r w:rsidR="00387A1E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 </w:t>
      </w:r>
      <w:r w:rsidR="00BD3BEF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>у периоду 2011-2019. године и 2020-2024. године:</w:t>
      </w:r>
    </w:p>
    <w:p w14:paraId="49686F70" w14:textId="75AC302B" w:rsidR="00277485" w:rsidRPr="005E0FDC" w:rsidRDefault="00613C04" w:rsidP="005E0FDC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sr-Latn-RS"/>
        </w:rPr>
      </w:pPr>
      <w:r w:rsidRPr="005E0F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E09E6B" wp14:editId="36AAAC2B">
            <wp:extent cx="3995875" cy="1786516"/>
            <wp:effectExtent l="0" t="0" r="5080" b="4445"/>
            <wp:docPr id="135113028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1C5107A-253E-4778-8688-1C7B13E2E4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0BA131" w14:textId="77777777" w:rsidR="00C44399" w:rsidRPr="005E0FDC" w:rsidRDefault="00C44399" w:rsidP="005E0FD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</w:pPr>
    </w:p>
    <w:p w14:paraId="77A0ABB4" w14:textId="77777777" w:rsidR="00DE002D" w:rsidRPr="005E0FDC" w:rsidRDefault="00DE002D" w:rsidP="005E0FD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</w:pPr>
    </w:p>
    <w:p w14:paraId="06FBDCDE" w14:textId="77777777" w:rsidR="00DE002D" w:rsidRPr="005E0FDC" w:rsidRDefault="00DE002D" w:rsidP="005E0FD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</w:pPr>
    </w:p>
    <w:p w14:paraId="3694FFB9" w14:textId="290CD08E" w:rsidR="00C44399" w:rsidRPr="005E0FDC" w:rsidRDefault="0052724A" w:rsidP="005E0FD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sr-Latn-RS"/>
        </w:rPr>
      </w:pPr>
      <w:r w:rsidRPr="005E0F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A99A0C" wp14:editId="49111438">
            <wp:extent cx="4059302" cy="2214645"/>
            <wp:effectExtent l="0" t="0" r="17780" b="14605"/>
            <wp:docPr id="7215412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5403266-BF7D-4DF2-BF56-28029751F2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80988D" w14:textId="77777777" w:rsidR="00B87EF4" w:rsidRPr="005E0FDC" w:rsidRDefault="00B87EF4" w:rsidP="005E0FD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sr-Latn-RS"/>
        </w:rPr>
      </w:pPr>
    </w:p>
    <w:p w14:paraId="5EDBED43" w14:textId="362A13BC" w:rsidR="00AF41B9" w:rsidRPr="005E0FDC" w:rsidRDefault="00AF41B9" w:rsidP="005E0FD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sr-Latn-RS"/>
        </w:rPr>
      </w:pPr>
      <w:r w:rsidRPr="005E0F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43D876" wp14:editId="4E42E023">
            <wp:extent cx="4106872" cy="2219931"/>
            <wp:effectExtent l="0" t="0" r="8255" b="9525"/>
            <wp:docPr id="18299513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312556A-5B01-4376-9DBE-87CBAE2D41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9EF391" w14:textId="77777777" w:rsidR="00D800FB" w:rsidRPr="005E0FDC" w:rsidRDefault="00D800FB" w:rsidP="005E0FD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sr-Latn-RS"/>
        </w:rPr>
      </w:pPr>
    </w:p>
    <w:p w14:paraId="5AC0E224" w14:textId="77777777" w:rsidR="00D425C7" w:rsidRDefault="00D425C7" w:rsidP="005E0FDC">
      <w:pPr>
        <w:spacing w:before="240" w:line="276" w:lineRule="auto"/>
        <w:jc w:val="both"/>
        <w:rPr>
          <w:rFonts w:ascii="Times New Roman" w:eastAsia="Aptos" w:hAnsi="Times New Roman" w:cs="Times New Roman"/>
          <w:sz w:val="24"/>
          <w:szCs w:val="24"/>
          <w:lang w:val="sr-Cyrl-RS"/>
        </w:rPr>
      </w:pPr>
    </w:p>
    <w:p w14:paraId="224C7841" w14:textId="6A3C75F4" w:rsidR="005E6181" w:rsidRPr="005E0FDC" w:rsidRDefault="007D68B6" w:rsidP="005E0FDC">
      <w:pPr>
        <w:spacing w:before="240" w:line="276" w:lineRule="auto"/>
        <w:jc w:val="both"/>
        <w:rPr>
          <w:rFonts w:ascii="Times New Roman" w:eastAsia="Aptos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lastRenderedPageBreak/>
        <w:t xml:space="preserve">Просечан број издатих </w:t>
      </w:r>
      <w:r w:rsidR="00D0423C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интегрисаних </w:t>
      </w:r>
      <w:r w:rsidR="00CB21E2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дозвола </w:t>
      </w:r>
      <w:r w:rsidR="00027909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>(убројане су нове</w:t>
      </w:r>
      <w:r w:rsidR="00027909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 дозволе</w:t>
      </w:r>
      <w:r w:rsidR="00027909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>, реви</w:t>
      </w:r>
      <w:r w:rsidR="00027909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доване дозволе </w:t>
      </w:r>
      <w:r w:rsidR="00027909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и дозволе које су издате по други пут) </w:t>
      </w:r>
      <w:r w:rsidR="000E4050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>на нивоу Ре</w:t>
      </w:r>
      <w:r w:rsidR="00876912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публике Србије у периоду </w:t>
      </w:r>
      <w:r w:rsidR="003D5A02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2011-2019. </w:t>
      </w:r>
      <w:r w:rsidR="00175180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>године и 2020-2024</w:t>
      </w:r>
      <w:r w:rsidR="00566BCA" w:rsidRPr="005E0FDC">
        <w:rPr>
          <w:rFonts w:ascii="Times New Roman" w:eastAsia="Aptos" w:hAnsi="Times New Roman" w:cs="Times New Roman"/>
          <w:sz w:val="24"/>
          <w:szCs w:val="24"/>
          <w:lang w:val="sr-Cyrl-RS"/>
        </w:rPr>
        <w:t>. године:</w:t>
      </w:r>
    </w:p>
    <w:p w14:paraId="46894EE8" w14:textId="470EA46D" w:rsidR="00D800FB" w:rsidRPr="005E0FDC" w:rsidRDefault="00F40CC3" w:rsidP="005E0FD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sr-Latn-RS"/>
        </w:rPr>
      </w:pPr>
      <w:r w:rsidRPr="005E0F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1D578C" wp14:editId="304E6336">
            <wp:extent cx="4251960" cy="2688336"/>
            <wp:effectExtent l="0" t="0" r="15240" b="17145"/>
            <wp:docPr id="19457073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12B2342-6063-40F0-9C71-E23E7CD970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9356C5" w14:textId="77777777" w:rsidR="00613C04" w:rsidRPr="005E0FDC" w:rsidRDefault="00613C04" w:rsidP="005E0FD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sr-Latn-RS"/>
        </w:rPr>
      </w:pPr>
    </w:p>
    <w:p w14:paraId="0D544A1F" w14:textId="77777777" w:rsidR="00613C04" w:rsidRPr="005E0FDC" w:rsidRDefault="00613C04" w:rsidP="005E0FD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sr-Latn-RS"/>
        </w:rPr>
      </w:pPr>
    </w:p>
    <w:p w14:paraId="65B29955" w14:textId="03E6D43A" w:rsidR="004A34F1" w:rsidRPr="005E0FDC" w:rsidRDefault="009B4B53" w:rsidP="005E0F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 xml:space="preserve">1.2.3 </w:t>
      </w:r>
      <w:r w:rsidR="0067766F"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 xml:space="preserve">Анализа </w:t>
      </w:r>
      <w:r w:rsidR="008D06C2"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>поднетих захтева</w:t>
      </w:r>
    </w:p>
    <w:p w14:paraId="71822CCA" w14:textId="2206C06C" w:rsidR="004B0FA7" w:rsidRPr="004B0FA7" w:rsidRDefault="07FD9BFB" w:rsidP="004B0FA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У највећем броју случајева поднети захтеви за издавање интегрисане дозволе, заједно са документацијом нису </w:t>
      </w:r>
      <w:r w:rsidR="001B3A78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били 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комплетни или </w:t>
      </w:r>
      <w:r w:rsidR="001B3A78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су 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недоста</w:t>
      </w:r>
      <w:r w:rsidR="001B3A78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јали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подаци који се односе на усаглашеност са најбољим доступним техникама, </w:t>
      </w:r>
      <w:r w:rsidR="009036D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ланови</w:t>
      </w:r>
      <w:r w:rsidR="001F157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9036D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сагласности, употребне или водне дозволе</w:t>
      </w:r>
      <w:r w:rsidR="001F157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 др. Недостатак адекватних података који се наводе у обрасцу захтева и неодговарајућа анализа података, представља</w:t>
      </w:r>
      <w:r w:rsidR="003B1F0E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ла је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проблем у поступку издавања интегрисане дозволе, а у великој мери је </w:t>
      </w:r>
      <w:r w:rsidR="003B1F0E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била и 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последица недостатка </w:t>
      </w:r>
      <w:r w:rsidR="000279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капацитета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припрему захтева </w:t>
      </w:r>
      <w:r w:rsidR="00BA1B30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код </w:t>
      </w:r>
      <w:r w:rsidR="00E23821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самог 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оператера. </w:t>
      </w:r>
      <w:r w:rsidR="004B0FA7" w:rsidRPr="004B0FA7">
        <w:rPr>
          <w:rFonts w:ascii="Times New Roman" w:hAnsi="Times New Roman" w:cs="Times New Roman"/>
          <w:sz w:val="24"/>
          <w:szCs w:val="24"/>
        </w:rPr>
        <w:t xml:space="preserve">Око 50% до сада идентификованих </w:t>
      </w:r>
      <w:r w:rsidR="00A607C0" w:rsidRPr="005E0FDC">
        <w:rPr>
          <w:rFonts w:ascii="Times New Roman" w:hAnsi="Times New Roman" w:cs="Times New Roman"/>
          <w:noProof/>
          <w:sz w:val="24"/>
          <w:szCs w:val="24"/>
        </w:rPr>
        <w:t xml:space="preserve">IPPC </w:t>
      </w:r>
      <w:r w:rsidR="004B0FA7" w:rsidRPr="004B0FA7">
        <w:rPr>
          <w:rFonts w:ascii="Times New Roman" w:hAnsi="Times New Roman" w:cs="Times New Roman"/>
          <w:sz w:val="24"/>
          <w:szCs w:val="24"/>
        </w:rPr>
        <w:t>постројења воде се као мала и средња предузећа, којима често недостаје стручни кадар за решавање питања заштите животне средине. Последица тога је недостатак дозвола и сагласности који претходе интегрисаној дозволи, као што су водне дозволе, нерешени власнички односи и имовинско-правна питања.</w:t>
      </w:r>
    </w:p>
    <w:p w14:paraId="20215345" w14:textId="09BD74FE" w:rsidR="00AD52FB" w:rsidRPr="005E0FDC" w:rsidRDefault="07FD9BFB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Осим тога, на мали број поднетих захтева ути</w:t>
      </w:r>
      <w:r w:rsidR="00B95C96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цала је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чињеница да су трошкови усаглашавања постојећих постројења са најбољим доступним техникама и граничним вредностима емисија прописаних </w:t>
      </w:r>
      <w:r w:rsidR="00AD52FB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BAT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закључцима веома високи</w:t>
      </w:r>
      <w:r w:rsidR="00E23821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да је потребно </w:t>
      </w:r>
      <w:r w:rsidR="006D381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детаљно </w:t>
      </w:r>
      <w:r w:rsidR="00E17D8D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анализирати и те чињенице кроз финансијску анализу.</w:t>
      </w:r>
    </w:p>
    <w:p w14:paraId="25899CB4" w14:textId="0FCE8DB2" w:rsidR="004A34F1" w:rsidRPr="005E0FDC" w:rsidRDefault="009B4B53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r-Latn-RS"/>
        </w:rPr>
      </w:pPr>
      <w:r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 xml:space="preserve">1.2.4 </w:t>
      </w:r>
      <w:r w:rsidR="008D06C2"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>Ус</w:t>
      </w:r>
      <w:r w:rsidR="00A17C78"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>а</w:t>
      </w:r>
      <w:r w:rsidR="008D06C2"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 xml:space="preserve">глашеност са </w:t>
      </w:r>
      <w:r w:rsidR="00E86090"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>другим</w:t>
      </w:r>
      <w:r w:rsidR="008D06C2"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 xml:space="preserve"> </w:t>
      </w:r>
      <w:r w:rsidR="008D06C2" w:rsidRPr="00A607C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>законима</w:t>
      </w:r>
      <w:r w:rsidR="008D06C2"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 xml:space="preserve"> </w:t>
      </w:r>
    </w:p>
    <w:p w14:paraId="40496095" w14:textId="2CBFD17D" w:rsidR="004B0FA7" w:rsidRPr="00A607C0" w:rsidRDefault="00A607C0" w:rsidP="004B0FA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Поднети з</w:t>
      </w:r>
      <w:r w:rsidR="004B0FA7" w:rsidRPr="00A607C0">
        <w:rPr>
          <w:rFonts w:ascii="Times New Roman" w:hAnsi="Times New Roman" w:cs="Times New Roman"/>
          <w:sz w:val="24"/>
          <w:szCs w:val="24"/>
        </w:rPr>
        <w:t xml:space="preserve">ахтеви за издавање интегрисане дозволе често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пракси нису </w:t>
      </w:r>
      <w:r w:rsidR="004B0FA7" w:rsidRPr="00A607C0">
        <w:rPr>
          <w:rFonts w:ascii="Times New Roman" w:hAnsi="Times New Roman" w:cs="Times New Roman"/>
          <w:sz w:val="24"/>
          <w:szCs w:val="24"/>
        </w:rPr>
        <w:t>садрж</w:t>
      </w:r>
      <w:r>
        <w:rPr>
          <w:rFonts w:ascii="Times New Roman" w:hAnsi="Times New Roman" w:cs="Times New Roman"/>
          <w:sz w:val="24"/>
          <w:szCs w:val="24"/>
          <w:lang w:val="sr-Cyrl-RS"/>
        </w:rPr>
        <w:t>али</w:t>
      </w:r>
      <w:r w:rsidR="004B0FA7" w:rsidRPr="00A607C0">
        <w:rPr>
          <w:rFonts w:ascii="Times New Roman" w:hAnsi="Times New Roman" w:cs="Times New Roman"/>
          <w:sz w:val="24"/>
          <w:szCs w:val="24"/>
        </w:rPr>
        <w:t xml:space="preserve"> све потребне документе, као што су употребне дозволе, водне дозволе и осталу релевантну документацију. Овај проблем је делимично узрокован тиме што постоји неусаглашеност, односно недостатак повезаности између одредаба </w:t>
      </w:r>
      <w:r w:rsidRPr="005E0FDC">
        <w:rPr>
          <w:rFonts w:ascii="Times New Roman" w:hAnsi="Times New Roman" w:cs="Times New Roman"/>
          <w:noProof/>
          <w:sz w:val="24"/>
          <w:szCs w:val="24"/>
        </w:rPr>
        <w:t>IPPC закон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B0FA7" w:rsidRPr="00A607C0">
        <w:rPr>
          <w:rFonts w:ascii="Times New Roman" w:hAnsi="Times New Roman" w:cs="Times New Roman"/>
          <w:sz w:val="24"/>
          <w:szCs w:val="24"/>
        </w:rPr>
        <w:t>и одредаба других секторских прописа, нпр. прописа о заштити и управљању водама.</w:t>
      </w:r>
      <w:r w:rsidR="004B0FA7" w:rsidRPr="00A607C0">
        <w:rPr>
          <w:rFonts w:ascii="Times New Roman" w:hAnsi="Times New Roman" w:cs="Times New Roman"/>
          <w:sz w:val="24"/>
          <w:szCs w:val="24"/>
          <w:lang w:val="sr-Cyrl-RS"/>
        </w:rPr>
        <w:t xml:space="preserve"> Закон о водама, с једне стране, прописује да водна дозвола није услов за издавање употребне дозволе, што је супротно интегрисаном приступу који прописује </w:t>
      </w:r>
      <w:r>
        <w:rPr>
          <w:rFonts w:ascii="Times New Roman" w:hAnsi="Times New Roman" w:cs="Times New Roman"/>
          <w:sz w:val="24"/>
          <w:szCs w:val="24"/>
        </w:rPr>
        <w:t xml:space="preserve">IED </w:t>
      </w:r>
      <w:r w:rsidR="004B0FA7" w:rsidRPr="00A607C0">
        <w:rPr>
          <w:rFonts w:ascii="Times New Roman" w:hAnsi="Times New Roman" w:cs="Times New Roman"/>
          <w:sz w:val="24"/>
          <w:szCs w:val="24"/>
          <w:lang w:val="sr-Cyrl-RS"/>
        </w:rPr>
        <w:t xml:space="preserve">Директива. </w:t>
      </w:r>
      <w:r w:rsidRPr="005E0FDC">
        <w:rPr>
          <w:rFonts w:ascii="Times New Roman" w:hAnsi="Times New Roman" w:cs="Times New Roman"/>
          <w:noProof/>
          <w:sz w:val="24"/>
          <w:szCs w:val="24"/>
        </w:rPr>
        <w:t>IPPC закон</w:t>
      </w:r>
      <w:r w:rsidR="004B0FA7" w:rsidRPr="00A607C0">
        <w:rPr>
          <w:rFonts w:ascii="Times New Roman" w:hAnsi="Times New Roman" w:cs="Times New Roman"/>
          <w:sz w:val="24"/>
          <w:szCs w:val="24"/>
          <w:lang w:val="sr-Cyrl-RS"/>
        </w:rPr>
        <w:t xml:space="preserve">, с друге стране прописује да интегрисана дозволе садржи услове из водне дозволе, која се у пракси издаје након употребне дозволе. </w:t>
      </w:r>
    </w:p>
    <w:p w14:paraId="5A0B145F" w14:textId="77777777" w:rsidR="004B0FA7" w:rsidRPr="00A607C0" w:rsidRDefault="004B0FA7" w:rsidP="004B0FA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07C0">
        <w:rPr>
          <w:rFonts w:ascii="Times New Roman" w:hAnsi="Times New Roman" w:cs="Times New Roman"/>
          <w:sz w:val="24"/>
          <w:szCs w:val="24"/>
        </w:rPr>
        <w:lastRenderedPageBreak/>
        <w:t>Постојећи законодавни оквир није јасно дефинисао, у случају нових постројења, у којој фази се издаје интегрисана дозвола. Ако се интегрисане дозволе за нова постројења издају пре употребне дозволе, а не пре фазе изградње, онда је очигледно да имплементација БАТ-а треба да буде обезбеђена путем применљивих инструмената заштите животне средине издатих пре фазе изградње</w:t>
      </w:r>
      <w:r w:rsidRPr="00A607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BF4901D" w14:textId="77777777" w:rsidR="004B0FA7" w:rsidRDefault="004B0FA7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838840" w14:textId="77777777" w:rsidR="004A34F1" w:rsidRPr="005E0FDC" w:rsidRDefault="009B4B53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r-Latn-RS"/>
        </w:rPr>
      </w:pPr>
      <w:r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 xml:space="preserve">1.2.5 </w:t>
      </w:r>
      <w:r w:rsidR="008D06C2"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>Притисци на животну средину</w:t>
      </w:r>
    </w:p>
    <w:p w14:paraId="3D8CBAC6" w14:textId="77777777" w:rsidR="00556838" w:rsidRPr="005E0FDC" w:rsidRDefault="004A5F89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E0FDC">
        <w:rPr>
          <w:rFonts w:ascii="Times New Roman" w:hAnsi="Times New Roman" w:cs="Times New Roman"/>
          <w:sz w:val="24"/>
          <w:szCs w:val="24"/>
        </w:rPr>
        <w:t>ритисци у животној средини проистичу</w:t>
      </w:r>
      <w:r w:rsidR="00441DE6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из </w:t>
      </w:r>
      <w:r w:rsidR="00441DE6" w:rsidRPr="005E0FDC">
        <w:rPr>
          <w:rFonts w:ascii="Times New Roman" w:hAnsi="Times New Roman" w:cs="Times New Roman"/>
          <w:sz w:val="24"/>
          <w:szCs w:val="24"/>
        </w:rPr>
        <w:t>прекомерн</w:t>
      </w:r>
      <w:r w:rsidR="00441DE6" w:rsidRPr="005E0FD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41DE6" w:rsidRPr="005E0FDC">
        <w:rPr>
          <w:rFonts w:ascii="Times New Roman" w:hAnsi="Times New Roman" w:cs="Times New Roman"/>
          <w:sz w:val="24"/>
          <w:szCs w:val="24"/>
        </w:rPr>
        <w:t xml:space="preserve"> употреба природних ресурса, промена у намени коришћења земљишта и емисиј</w:t>
      </w:r>
      <w:r w:rsidR="007C2816" w:rsidRPr="005E0F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41DE6" w:rsidRPr="005E0FDC">
        <w:rPr>
          <w:rFonts w:ascii="Times New Roman" w:hAnsi="Times New Roman" w:cs="Times New Roman"/>
          <w:sz w:val="24"/>
          <w:szCs w:val="24"/>
        </w:rPr>
        <w:t xml:space="preserve"> опасних и штетних материја.</w:t>
      </w:r>
      <w:r w:rsidR="00441DE6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671B54D" w14:textId="0A9CD464" w:rsidR="00755B89" w:rsidRPr="005E0FDC" w:rsidRDefault="007C2816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A5F89" w:rsidRPr="005E0FDC">
        <w:rPr>
          <w:rFonts w:ascii="Times New Roman" w:hAnsi="Times New Roman" w:cs="Times New Roman"/>
          <w:sz w:val="24"/>
          <w:szCs w:val="24"/>
        </w:rPr>
        <w:t>ривредн</w:t>
      </w:r>
      <w:r w:rsidR="00DE55E5" w:rsidRPr="005E0FD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A5F89" w:rsidRPr="005E0FDC">
        <w:rPr>
          <w:rFonts w:ascii="Times New Roman" w:hAnsi="Times New Roman" w:cs="Times New Roman"/>
          <w:sz w:val="24"/>
          <w:szCs w:val="24"/>
        </w:rPr>
        <w:t xml:space="preserve"> активности</w:t>
      </w:r>
      <w:r w:rsidR="004A5F89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B89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најчешће </w:t>
      </w:r>
      <w:r w:rsidR="00D16EE7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утичу </w:t>
      </w:r>
      <w:r w:rsidR="004A5F89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кроз </w:t>
      </w:r>
      <w:r w:rsidR="004A5F89" w:rsidRPr="005E0FDC">
        <w:rPr>
          <w:rFonts w:ascii="Times New Roman" w:hAnsi="Times New Roman" w:cs="Times New Roman"/>
          <w:sz w:val="24"/>
          <w:szCs w:val="24"/>
        </w:rPr>
        <w:t>емисије опасних и штетних материја и хемикалија у ваздух, воду и земљиште</w:t>
      </w:r>
      <w:r w:rsidR="00755B89" w:rsidRPr="005E0F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A5F89" w:rsidRPr="005E0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FDC25" w14:textId="34FC9966" w:rsidR="00680C47" w:rsidRPr="005E0FDC" w:rsidRDefault="00F3280B" w:rsidP="005E0F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>Анализ</w:t>
      </w:r>
      <w:r w:rsidR="004E7721" w:rsidRPr="005E0FD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података </w:t>
      </w:r>
      <w:r w:rsidR="004C5170" w:rsidRPr="005E0FDC">
        <w:rPr>
          <w:rFonts w:ascii="Times New Roman" w:hAnsi="Times New Roman" w:cs="Times New Roman"/>
          <w:sz w:val="24"/>
          <w:szCs w:val="24"/>
          <w:lang w:val="sr-Cyrl-RS"/>
        </w:rPr>
        <w:t>преузетих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из Националног регистра извора загађивања, </w:t>
      </w:r>
      <w:r w:rsidR="00FA7941" w:rsidRPr="005E0FDC">
        <w:rPr>
          <w:rFonts w:ascii="Times New Roman" w:hAnsi="Times New Roman" w:cs="Times New Roman"/>
          <w:sz w:val="24"/>
          <w:szCs w:val="24"/>
          <w:lang w:val="sr-Cyrl-RS"/>
        </w:rPr>
        <w:t>кроз И</w:t>
      </w:r>
      <w:r w:rsidR="00FA7941" w:rsidRPr="005E0FDC">
        <w:rPr>
          <w:rFonts w:ascii="Times New Roman" w:hAnsi="Times New Roman" w:cs="Times New Roman"/>
          <w:sz w:val="24"/>
          <w:szCs w:val="24"/>
        </w:rPr>
        <w:t xml:space="preserve">звештај о стању животне средине у </w:t>
      </w:r>
      <w:r w:rsidR="00130305" w:rsidRPr="005E0FD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A7941" w:rsidRPr="005E0FDC">
        <w:rPr>
          <w:rFonts w:ascii="Times New Roman" w:hAnsi="Times New Roman" w:cs="Times New Roman"/>
          <w:sz w:val="24"/>
          <w:szCs w:val="24"/>
        </w:rPr>
        <w:t xml:space="preserve">епублици </w:t>
      </w:r>
      <w:r w:rsidR="00130305" w:rsidRPr="005E0FD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A7941" w:rsidRPr="005E0FDC">
        <w:rPr>
          <w:rFonts w:ascii="Times New Roman" w:hAnsi="Times New Roman" w:cs="Times New Roman"/>
          <w:sz w:val="24"/>
          <w:szCs w:val="24"/>
        </w:rPr>
        <w:t>рбији за 2023. годину</w:t>
      </w:r>
      <w:r w:rsidR="00D03C5A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52FB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(</w:t>
      </w:r>
      <w:hyperlink r:id="rId12" w:history="1">
        <w:r w:rsidR="001A331C" w:rsidRPr="005E0FD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https://sepa.gov.rs/wp-content/uploads/2024/12/ZivotnaSredina2023.pdf</w:t>
        </w:r>
      </w:hyperlink>
      <w:r w:rsidR="001A331C" w:rsidRPr="005E0FD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92DEB" w:rsidRPr="005E0F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331C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7FD9BFB" w:rsidRPr="005E0FDC">
        <w:rPr>
          <w:rFonts w:ascii="Times New Roman" w:hAnsi="Times New Roman" w:cs="Times New Roman"/>
          <w:sz w:val="24"/>
          <w:szCs w:val="24"/>
        </w:rPr>
        <w:t>као једн</w:t>
      </w:r>
      <w:r w:rsidR="00AF3E00" w:rsidRPr="005E0FDC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од показатеља учинка</w:t>
      </w:r>
      <w:r w:rsidR="00AF3E00" w:rsidRPr="005E0FDC">
        <w:rPr>
          <w:rFonts w:ascii="Times New Roman" w:hAnsi="Times New Roman" w:cs="Times New Roman"/>
          <w:sz w:val="24"/>
          <w:szCs w:val="24"/>
          <w:lang w:val="sr-Cyrl-RS"/>
        </w:rPr>
        <w:t>, утврђено је:</w:t>
      </w:r>
    </w:p>
    <w:p w14:paraId="5C118839" w14:textId="31870C23" w:rsidR="00383137" w:rsidRPr="005E0FDC" w:rsidRDefault="00AD52FB" w:rsidP="005E0FDC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17194" w:rsidRPr="005E0FDC">
        <w:rPr>
          <w:rFonts w:ascii="Times New Roman" w:hAnsi="Times New Roman" w:cs="Times New Roman"/>
          <w:sz w:val="24"/>
          <w:szCs w:val="24"/>
        </w:rPr>
        <w:t xml:space="preserve">одаци о емисијама у ваздух показују да су највећи извори азотних оксида друмски саобраћај и процеси производње и дистрибуције енергије. Највећи део сумпорних оксида је пореклом из производње и дистрибуције енергије. Највећи извор суспендованих честица у ваздух представља сектор Топлане снаге мање од 50 MW и индивидуално грејање. Пољопривредне активности највише доприносе емисијама амонијака. Ненамерно испуштене дуготрајне органске загађујуће материје имају благи тренд опадања, што је у складу са мерама и методама прописаним међународним Протоколом о дуготрајним органским загађујућим материјама. </w:t>
      </w:r>
    </w:p>
    <w:p w14:paraId="53101B57" w14:textId="081189E3" w:rsidR="00383137" w:rsidRPr="005E0FDC" w:rsidRDefault="07FD9BFB" w:rsidP="005E0FDC">
      <w:pPr>
        <w:pStyle w:val="ListParagraph"/>
        <w:numPr>
          <w:ilvl w:val="0"/>
          <w:numId w:val="38"/>
        </w:numPr>
        <w:spacing w:before="12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noProof/>
          <w:sz w:val="24"/>
          <w:szCs w:val="24"/>
        </w:rPr>
        <w:t>Утицај привредних активности на квалитет вода у Републици Србији примарно потиче од емисија загађујућих материја, као што су једињења азота (N) и фосфора (P), органске материје и тешки метали. У погледу емисија нутријената и органских материја у површинске и по</w:t>
      </w:r>
      <w:r w:rsidRPr="005E0FDC">
        <w:rPr>
          <w:rFonts w:ascii="Times New Roman" w:hAnsi="Times New Roman" w:cs="Times New Roman"/>
          <w:noProof/>
          <w:sz w:val="24"/>
          <w:szCs w:val="24"/>
          <w:lang w:val="sr-Cyrl-RS"/>
        </w:rPr>
        <w:t>дз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емне воде и земљиште значајан је утицај великих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IPPC</w:t>
      </w:r>
      <w:r w:rsidRPr="005E0FDC">
        <w:rPr>
          <w:rFonts w:ascii="Times New Roman" w:hAnsi="Times New Roman" w:cs="Times New Roman"/>
          <w:noProof/>
          <w:sz w:val="24"/>
          <w:szCs w:val="24"/>
        </w:rPr>
        <w:t xml:space="preserve"> фарми свиња. Према подацима из истог извора у претходном периоду није остварен јасан тренд опадања вредности емисија укупног азота (N) и укупног фосфора (P).</w:t>
      </w:r>
    </w:p>
    <w:p w14:paraId="70663924" w14:textId="77777777" w:rsidR="004A34F1" w:rsidRPr="005E0FDC" w:rsidRDefault="009B4B53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r-Latn-RS"/>
        </w:rPr>
      </w:pPr>
      <w:r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 xml:space="preserve">1.2.6 </w:t>
      </w:r>
      <w:r w:rsidR="002D0E21" w:rsidRPr="005E0F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 w:eastAsia="sr-Latn-RS"/>
        </w:rPr>
        <w:t>Инспекцијски надзор</w:t>
      </w:r>
    </w:p>
    <w:p w14:paraId="3D6B5263" w14:textId="746EF6F2" w:rsidR="002D0E21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</w:rPr>
        <w:t>Инспекцијски на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дз</w:t>
      </w:r>
      <w:r w:rsidRPr="005E0FDC">
        <w:rPr>
          <w:rFonts w:ascii="Times New Roman" w:hAnsi="Times New Roman" w:cs="Times New Roman"/>
          <w:sz w:val="24"/>
          <w:szCs w:val="24"/>
        </w:rPr>
        <w:t xml:space="preserve">ор над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IPPC</w:t>
      </w:r>
      <w:r w:rsidRPr="005E0FDC">
        <w:rPr>
          <w:rFonts w:ascii="Times New Roman" w:hAnsi="Times New Roman" w:cs="Times New Roman"/>
          <w:sz w:val="24"/>
          <w:szCs w:val="24"/>
        </w:rPr>
        <w:t xml:space="preserve"> постројењима врши</w:t>
      </w:r>
      <w:r w:rsidR="00B10300" w:rsidRPr="005E0FD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E0FDC">
        <w:rPr>
          <w:rFonts w:ascii="Times New Roman" w:hAnsi="Times New Roman" w:cs="Times New Roman"/>
          <w:sz w:val="24"/>
          <w:szCs w:val="24"/>
        </w:rPr>
        <w:t xml:space="preserve"> се у складу са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IPPC</w:t>
      </w:r>
      <w:r w:rsidRPr="005E0FDC">
        <w:rPr>
          <w:rFonts w:ascii="Times New Roman" w:hAnsi="Times New Roman" w:cs="Times New Roman"/>
          <w:sz w:val="24"/>
          <w:szCs w:val="24"/>
        </w:rPr>
        <w:t xml:space="preserve"> законом и Законом о инспекцијском на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дз</w:t>
      </w:r>
      <w:r w:rsidRPr="005E0FDC">
        <w:rPr>
          <w:rFonts w:ascii="Times New Roman" w:hAnsi="Times New Roman" w:cs="Times New Roman"/>
          <w:sz w:val="24"/>
          <w:szCs w:val="24"/>
        </w:rPr>
        <w:t>ору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</w:t>
      </w:r>
      <w:r w:rsidR="00556199" w:rsidRPr="005E0FDC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, бр. 36/16, 44/18-др.закон и 95/18)</w:t>
      </w:r>
      <w:r w:rsidRPr="005E0FDC">
        <w:rPr>
          <w:rFonts w:ascii="Times New Roman" w:hAnsi="Times New Roman" w:cs="Times New Roman"/>
          <w:sz w:val="24"/>
          <w:szCs w:val="24"/>
        </w:rPr>
        <w:t xml:space="preserve"> према годишњим плановима инспекцијског на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дз</w:t>
      </w:r>
      <w:r w:rsidRPr="005E0FDC">
        <w:rPr>
          <w:rFonts w:ascii="Times New Roman" w:hAnsi="Times New Roman" w:cs="Times New Roman"/>
          <w:sz w:val="24"/>
          <w:szCs w:val="24"/>
        </w:rPr>
        <w:t xml:space="preserve">ора и контролним листама. Овај надзор </w:t>
      </w:r>
      <w:r w:rsidR="00B10300" w:rsidRPr="005E0FDC">
        <w:rPr>
          <w:rFonts w:ascii="Times New Roman" w:hAnsi="Times New Roman" w:cs="Times New Roman"/>
          <w:sz w:val="24"/>
          <w:szCs w:val="24"/>
          <w:lang w:val="sr-Cyrl-RS"/>
        </w:rPr>
        <w:t>вршио је</w:t>
      </w:r>
      <w:r w:rsidRPr="005E0FDC">
        <w:rPr>
          <w:rFonts w:ascii="Times New Roman" w:hAnsi="Times New Roman" w:cs="Times New Roman"/>
          <w:sz w:val="24"/>
          <w:szCs w:val="24"/>
        </w:rPr>
        <w:t xml:space="preserve"> комплетну проверу свих прописаних услова из интегрисане дозволе.</w:t>
      </w:r>
    </w:p>
    <w:p w14:paraId="1CAAFC17" w14:textId="1697C3B0" w:rsidR="002D0E21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</w:rPr>
        <w:t xml:space="preserve">Проблем који карактерише тренутну ситуацију по питању инспекцијске контроле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IPPC</w:t>
      </w:r>
      <w:r w:rsidRPr="005E0FDC">
        <w:rPr>
          <w:rFonts w:ascii="Times New Roman" w:hAnsi="Times New Roman" w:cs="Times New Roman"/>
          <w:sz w:val="24"/>
          <w:szCs w:val="24"/>
        </w:rPr>
        <w:t xml:space="preserve"> постројења односи се на постројења за које није издата интегрисана дозвола. Ово се огледа у подељеној надлежност за појединачну контролу различитих  утицаја на животну средину (нпр. посебно на  воде, посебно на ваздух, посебно на управљање </w:t>
      </w:r>
      <w:r w:rsidRPr="005E0FDC">
        <w:rPr>
          <w:rFonts w:ascii="Times New Roman" w:hAnsi="Times New Roman" w:cs="Times New Roman"/>
          <w:sz w:val="24"/>
          <w:szCs w:val="24"/>
        </w:rPr>
        <w:lastRenderedPageBreak/>
        <w:t xml:space="preserve">отпадом итд.), али и </w:t>
      </w:r>
      <w:r w:rsidR="00CE0048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посебног надзора </w:t>
      </w:r>
      <w:r w:rsidRPr="005E0FDC">
        <w:rPr>
          <w:rFonts w:ascii="Times New Roman" w:hAnsi="Times New Roman" w:cs="Times New Roman"/>
          <w:sz w:val="24"/>
          <w:szCs w:val="24"/>
        </w:rPr>
        <w:t>између инспекциј</w:t>
      </w:r>
      <w:r w:rsidR="00CE0048" w:rsidRPr="005E0F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0FDC">
        <w:rPr>
          <w:rFonts w:ascii="Times New Roman" w:hAnsi="Times New Roman" w:cs="Times New Roman"/>
          <w:sz w:val="24"/>
          <w:szCs w:val="24"/>
        </w:rPr>
        <w:t xml:space="preserve"> са републичког, покрајинског и локалног нивоа. </w:t>
      </w:r>
    </w:p>
    <w:p w14:paraId="11171DEF" w14:textId="30D52F4C" w:rsidR="00C217E5" w:rsidRPr="005E0FDC" w:rsidRDefault="07FD9BFB" w:rsidP="005E0FDC">
      <w:pPr>
        <w:spacing w:before="1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sr-Latn-RS"/>
        </w:rPr>
      </w:pPr>
      <w:r w:rsidRPr="005E0FDC">
        <w:rPr>
          <w:rFonts w:ascii="Times New Roman" w:hAnsi="Times New Roman" w:cs="Times New Roman"/>
          <w:sz w:val="24"/>
          <w:szCs w:val="24"/>
        </w:rPr>
        <w:t xml:space="preserve">Често, у недостатку капацитета јединица локалне самоуправе, републички инспектори преузимају контролу из надлежности које ЈЛС врше као поверене послове. </w:t>
      </w:r>
    </w:p>
    <w:p w14:paraId="409E7074" w14:textId="514FBA81" w:rsidR="004A34F1" w:rsidRPr="005E0FDC" w:rsidRDefault="07FD9BFB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sr-Latn-RS"/>
        </w:rPr>
      </w:pPr>
      <w:r w:rsidRPr="005E0FD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sr-Cyrl-RS" w:eastAsia="sr-Latn-RS"/>
        </w:rPr>
        <w:t>1.2.7 Учешће јавности и приступ правосуђу</w:t>
      </w:r>
    </w:p>
    <w:p w14:paraId="67A239A4" w14:textId="0F5CA8A3" w:rsidR="002D0E21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</w:rPr>
        <w:t xml:space="preserve">Надлежни органи и до сада </w:t>
      </w:r>
      <w:r w:rsidR="00421112" w:rsidRPr="005E0FDC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0D71EF" w:rsidRPr="005E0F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1112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6E51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кроз </w:t>
      </w:r>
      <w:r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IPPC</w:t>
      </w:r>
      <w:r w:rsidRPr="005E0FDC">
        <w:rPr>
          <w:rFonts w:ascii="Times New Roman" w:hAnsi="Times New Roman" w:cs="Times New Roman"/>
          <w:sz w:val="24"/>
          <w:szCs w:val="24"/>
        </w:rPr>
        <w:t xml:space="preserve"> Закон, </w:t>
      </w:r>
      <w:r w:rsidR="0070484D" w:rsidRPr="005E0FDC">
        <w:rPr>
          <w:rFonts w:ascii="Times New Roman" w:hAnsi="Times New Roman" w:cs="Times New Roman"/>
          <w:sz w:val="24"/>
          <w:szCs w:val="24"/>
          <w:lang w:val="sr-Cyrl-RS"/>
        </w:rPr>
        <w:t>примењивали</w:t>
      </w:r>
      <w:r w:rsidRPr="005E0FDC">
        <w:rPr>
          <w:rFonts w:ascii="Times New Roman" w:hAnsi="Times New Roman" w:cs="Times New Roman"/>
          <w:sz w:val="24"/>
          <w:szCs w:val="24"/>
        </w:rPr>
        <w:t xml:space="preserve"> начела јавног приступа информацијама, објављивањем Захтева, Нацрта дозво</w:t>
      </w:r>
      <w:r w:rsidR="00D0114F" w:rsidRPr="005E0FD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5E0FDC">
        <w:rPr>
          <w:rFonts w:ascii="Times New Roman" w:hAnsi="Times New Roman" w:cs="Times New Roman"/>
          <w:sz w:val="24"/>
          <w:szCs w:val="24"/>
        </w:rPr>
        <w:t xml:space="preserve">а и Дозвола, као и докумената везаних уз њих, </w:t>
      </w:r>
      <w:r w:rsidR="00D0114F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у дневној штампи и </w:t>
      </w:r>
      <w:r w:rsidRPr="005E0FDC">
        <w:rPr>
          <w:rFonts w:ascii="Times New Roman" w:hAnsi="Times New Roman" w:cs="Times New Roman"/>
          <w:sz w:val="24"/>
          <w:szCs w:val="24"/>
        </w:rPr>
        <w:t xml:space="preserve">на својим веб страницама. Одредбе </w:t>
      </w:r>
      <w:r w:rsidR="00D0114F" w:rsidRPr="005E0FDC">
        <w:rPr>
          <w:rFonts w:ascii="Times New Roman" w:hAnsi="Times New Roman" w:cs="Times New Roman"/>
          <w:sz w:val="24"/>
          <w:szCs w:val="24"/>
        </w:rPr>
        <w:t>IED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Директиве</w:t>
      </w:r>
      <w:r w:rsidRPr="005E0FDC">
        <w:rPr>
          <w:rFonts w:ascii="Times New Roman" w:hAnsi="Times New Roman" w:cs="Times New Roman"/>
          <w:sz w:val="24"/>
          <w:szCs w:val="24"/>
        </w:rPr>
        <w:t xml:space="preserve"> (чл. 24-26) су у односу на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IPPC</w:t>
      </w:r>
      <w:r w:rsidRPr="005E0FDC">
        <w:rPr>
          <w:rFonts w:ascii="Times New Roman" w:hAnsi="Times New Roman" w:cs="Times New Roman"/>
          <w:sz w:val="24"/>
          <w:szCs w:val="24"/>
        </w:rPr>
        <w:t xml:space="preserve"> Директиву додатно разрадила стандарде доступности информација и учешћа јавности, приступа правосуђу и размене информација у прекограничном контексту у складу са Архуском конвенцијом. </w:t>
      </w:r>
    </w:p>
    <w:p w14:paraId="5507AFFA" w14:textId="538E488F" w:rsidR="07FD9BFB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3C7CA7" w14:textId="60A983BB" w:rsidR="00D35A57" w:rsidRPr="005E0FDC" w:rsidRDefault="004A34F1" w:rsidP="005E0FDC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b/>
          <w:sz w:val="24"/>
          <w:szCs w:val="24"/>
          <w:lang w:val="sr-Cyrl-RS"/>
        </w:rPr>
        <w:t>1.3. Усклађивање са ЕУ стратешким и законодавним оквиром</w:t>
      </w:r>
    </w:p>
    <w:p w14:paraId="7C0B5156" w14:textId="2B7CA9E5" w:rsidR="002D0E21" w:rsidRPr="005E0FDC" w:rsidRDefault="002D0E21" w:rsidP="005E0FDC">
      <w:pPr>
        <w:tabs>
          <w:tab w:val="left" w:pos="0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>У оквиру ЕУ уследио је развој индустрије заснован на спречавању и смањењу загађивању ваз</w:t>
      </w:r>
      <w:r w:rsidR="001B373C" w:rsidRPr="005E0FD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уха, вода и земљишта, са ниским садржајем угљеника у складу са принципима циркуларне економије, као део </w:t>
      </w:r>
      <w:r w:rsidRPr="005E0FD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ЕУ Стратегије одрживог развоја </w:t>
      </w:r>
      <w:r w:rsidR="00080E68" w:rsidRPr="005E0FDC">
        <w:rPr>
          <w:rFonts w:ascii="Times New Roman" w:hAnsi="Times New Roman" w:cs="Times New Roman"/>
          <w:i/>
          <w:sz w:val="24"/>
          <w:szCs w:val="24"/>
        </w:rPr>
        <w:t>(</w:t>
      </w:r>
      <w:r w:rsidR="00080E68" w:rsidRPr="005E0F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COM/2001/0264 Final)</w:t>
      </w:r>
      <w:r w:rsidR="00080E68" w:rsidRPr="005E0FD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Cyrl-RS"/>
        </w:rPr>
        <w:t xml:space="preserve">, </w:t>
      </w:r>
      <w:r w:rsidRPr="005E0FD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Cyrl-RS"/>
        </w:rPr>
        <w:t>Европског Зелено</w:t>
      </w:r>
      <w:r w:rsidR="00C92B90" w:rsidRPr="005E0FD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Cyrl-RS"/>
        </w:rPr>
        <w:t xml:space="preserve"> </w:t>
      </w:r>
      <w:r w:rsidRPr="005E0FD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Cyrl-RS"/>
        </w:rPr>
        <w:t>договора</w:t>
      </w:r>
      <w:r w:rsidR="00080E68" w:rsidRPr="005E0FD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080E68" w:rsidRPr="005E0FDC">
        <w:rPr>
          <w:rFonts w:ascii="Times New Roman" w:hAnsi="Times New Roman" w:cs="Times New Roman"/>
          <w:i/>
          <w:sz w:val="24"/>
          <w:szCs w:val="24"/>
        </w:rPr>
        <w:t xml:space="preserve">(COM/2019/640, </w:t>
      </w:r>
      <w:r w:rsidRPr="005E0FDC">
        <w:rPr>
          <w:rFonts w:ascii="Times New Roman" w:hAnsi="Times New Roman" w:cs="Times New Roman"/>
          <w:i/>
          <w:sz w:val="24"/>
          <w:szCs w:val="24"/>
          <w:lang w:val="sr-Cyrl-RS"/>
        </w:rPr>
        <w:t>ЕУ Стратегије индустријске политике</w:t>
      </w:r>
      <w:r w:rsidR="00080E68" w:rsidRPr="005E0F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0FD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 w:rsidR="00080E68" w:rsidRPr="005E0FDC">
        <w:rPr>
          <w:rFonts w:ascii="Times New Roman" w:hAnsi="Times New Roman" w:cs="Times New Roman"/>
          <w:i/>
          <w:sz w:val="24"/>
          <w:szCs w:val="24"/>
        </w:rPr>
        <w:t>COM/2020/102)</w:t>
      </w:r>
      <w:r w:rsidR="00080E68" w:rsidRPr="005E0FDC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="00080E68" w:rsidRPr="005E0F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0FDC">
        <w:rPr>
          <w:rFonts w:ascii="Times New Roman" w:hAnsi="Times New Roman" w:cs="Times New Roman"/>
          <w:i/>
          <w:sz w:val="24"/>
          <w:szCs w:val="24"/>
          <w:lang w:val="sr-Cyrl-RS"/>
        </w:rPr>
        <w:t>Зелене Агенде за Балкан</w:t>
      </w:r>
      <w:r w:rsidR="00080E68" w:rsidRPr="005E0FDC">
        <w:rPr>
          <w:rFonts w:ascii="Times New Roman" w:hAnsi="Times New Roman" w:cs="Times New Roman"/>
          <w:i/>
          <w:sz w:val="24"/>
          <w:szCs w:val="24"/>
        </w:rPr>
        <w:t xml:space="preserve"> (SWD (2020) 223 Final)</w:t>
      </w:r>
      <w:r w:rsidR="00080E68"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Pr="005E0FDC">
        <w:rPr>
          <w:rFonts w:ascii="Times New Roman" w:hAnsi="Times New Roman" w:cs="Times New Roman"/>
          <w:i/>
          <w:sz w:val="24"/>
          <w:szCs w:val="24"/>
        </w:rPr>
        <w:t>посебних пакета и тематских стратегија ЕУ</w:t>
      </w:r>
      <w:r w:rsidRPr="005E0FDC">
        <w:rPr>
          <w:rFonts w:ascii="Times New Roman" w:hAnsi="Times New Roman" w:cs="Times New Roman"/>
          <w:sz w:val="24"/>
          <w:szCs w:val="24"/>
        </w:rPr>
        <w:t xml:space="preserve"> (загађење ваздуха, заштита земљишта, спречавање настајања отпада и рециклажи итд.).  </w:t>
      </w:r>
    </w:p>
    <w:p w14:paraId="593C431B" w14:textId="6F26A91B" w:rsidR="002D0E21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оквиру пет стубова </w:t>
      </w:r>
      <w:r w:rsidRPr="005E0FD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Зелене Агенде за Балкан</w:t>
      </w:r>
      <w:r w:rsidRPr="005E0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Toc173303977"/>
      <w:r w:rsidRPr="005E0FDC">
        <w:rPr>
          <w:rFonts w:ascii="Times New Roman" w:hAnsi="Times New Roman" w:cs="Times New Roman"/>
          <w:sz w:val="24"/>
          <w:szCs w:val="24"/>
        </w:rPr>
        <w:t>кључно место заузимају спречавање загађивања, циркуларна економија и декарбонизација. Посебан фокус је на развоју стратешког оквира за квалитет ваздуха и примени најбоље доступних техника, праћењу испуштања загађујућих материја у ваздух и воду, праћењу квалитета ваздуха и вода, интеграцији заштите земљишта у друге политике, усклађивању законодавства са IED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Директивом</w:t>
      </w:r>
      <w:r w:rsidRPr="005E0FDC">
        <w:rPr>
          <w:rFonts w:ascii="Times New Roman" w:hAnsi="Times New Roman" w:cs="Times New Roman"/>
          <w:sz w:val="24"/>
          <w:szCs w:val="24"/>
        </w:rPr>
        <w:t xml:space="preserve"> и релевантним правним тековинама ЕУ у области ваздуха, вода и управљања отпадом.</w:t>
      </w:r>
    </w:p>
    <w:p w14:paraId="77E74E2E" w14:textId="34E51462" w:rsidR="002D0E21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</w:rPr>
        <w:t>Овај ЕУ стратешки оквир уследио је након искустава држава чланица ЕУ у примени IPPC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</w:rPr>
        <w:t>Директиве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0FDC">
        <w:rPr>
          <w:rFonts w:ascii="Times New Roman" w:hAnsi="Times New Roman" w:cs="Times New Roman"/>
          <w:sz w:val="24"/>
          <w:szCs w:val="24"/>
        </w:rPr>
        <w:t xml:space="preserve"> која је кодификована Директивом 2008/1/ЕЗ. </w:t>
      </w:r>
    </w:p>
    <w:p w14:paraId="7FAF1FB6" w14:textId="1EB13076" w:rsidR="002D0E21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</w:rPr>
        <w:t xml:space="preserve">У том смислу, циљ европског стратешког оквира је стварање индустријског сектора који све мање користи природне ресурсе, смањује емисије загађујућих материја у ваздух, воду и земљиште и ствара све мање количине отпада током времена. С тим вези, ЕУ стратешки оквир и прописи се врло динамично развијају, што захтева да Република Србија не само континуирано прати, већ и да усклађује стратешки оквир и прописе у области заштите животне средине са изменама у ЕУ законодавству, а посебно оне који се односе на индустријско загађивање.   </w:t>
      </w:r>
    </w:p>
    <w:p w14:paraId="7C60839F" w14:textId="6238E416" w:rsidR="002D0E21" w:rsidRPr="005E0FDC" w:rsidRDefault="00BC710D" w:rsidP="005E0FDC">
      <w:pPr>
        <w:tabs>
          <w:tab w:val="left" w:pos="0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D0E21" w:rsidRPr="005E0FDC">
        <w:rPr>
          <w:rFonts w:ascii="Times New Roman" w:hAnsi="Times New Roman" w:cs="Times New Roman"/>
          <w:sz w:val="24"/>
          <w:szCs w:val="24"/>
        </w:rPr>
        <w:t>остојећи стратешки оквир:</w:t>
      </w:r>
    </w:p>
    <w:p w14:paraId="1DA66A5E" w14:textId="32B6B59E" w:rsidR="002D0E21" w:rsidRPr="005E0FDC" w:rsidRDefault="002D0E21" w:rsidP="005E0FDC">
      <w:pPr>
        <w:pStyle w:val="ListParagraph"/>
        <w:numPr>
          <w:ilvl w:val="0"/>
          <w:numId w:val="32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i/>
          <w:sz w:val="24"/>
          <w:szCs w:val="24"/>
        </w:rPr>
        <w:t>Стратегија индустријске политике Републике Србије за период 2021-2030</w:t>
      </w:r>
      <w:r w:rsidR="00A2384C" w:rsidRPr="005E0FDC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942FF1" w:rsidRPr="005E0FD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године</w:t>
      </w:r>
      <w:r w:rsidRPr="005E0FDC">
        <w:rPr>
          <w:rFonts w:ascii="Times New Roman" w:hAnsi="Times New Roman" w:cs="Times New Roman"/>
          <w:sz w:val="24"/>
          <w:szCs w:val="24"/>
        </w:rPr>
        <w:t xml:space="preserve"> (</w:t>
      </w:r>
      <w:r w:rsidR="00E10812" w:rsidRPr="005E0FD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E0FDC">
        <w:rPr>
          <w:rFonts w:ascii="Times New Roman" w:hAnsi="Times New Roman" w:cs="Times New Roman"/>
          <w:sz w:val="24"/>
          <w:szCs w:val="24"/>
        </w:rPr>
        <w:t>Службени гласник РС</w:t>
      </w:r>
      <w:r w:rsidR="00A2384C" w:rsidRPr="005E0FDC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5E0FDC">
        <w:rPr>
          <w:rFonts w:ascii="Times New Roman" w:hAnsi="Times New Roman" w:cs="Times New Roman"/>
          <w:sz w:val="24"/>
          <w:szCs w:val="24"/>
        </w:rPr>
        <w:t>, број 35/20)</w:t>
      </w:r>
      <w:r w:rsidR="00942FF1" w:rsidRPr="005E0FD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44B5884" w14:textId="266236A2" w:rsidR="002D0E21" w:rsidRPr="005E0FDC" w:rsidRDefault="002D0E21" w:rsidP="005E0FDC">
      <w:pPr>
        <w:pStyle w:val="ListParagraph"/>
        <w:numPr>
          <w:ilvl w:val="0"/>
          <w:numId w:val="32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i/>
          <w:sz w:val="24"/>
          <w:szCs w:val="24"/>
        </w:rPr>
        <w:lastRenderedPageBreak/>
        <w:t>Програм заштите ваздуха у Републици Србији за период 2022</w:t>
      </w:r>
      <w:r w:rsidR="00942FF1" w:rsidRPr="005E0FDC">
        <w:rPr>
          <w:rFonts w:ascii="Times New Roman" w:hAnsi="Times New Roman" w:cs="Times New Roman"/>
          <w:i/>
          <w:sz w:val="24"/>
          <w:szCs w:val="24"/>
          <w:lang w:val="sr-Cyrl-RS"/>
        </w:rPr>
        <w:t>-</w:t>
      </w:r>
      <w:r w:rsidRPr="005E0FDC">
        <w:rPr>
          <w:rFonts w:ascii="Times New Roman" w:hAnsi="Times New Roman" w:cs="Times New Roman"/>
          <w:i/>
          <w:sz w:val="24"/>
          <w:szCs w:val="24"/>
        </w:rPr>
        <w:t>2030. године са Акционим планом</w:t>
      </w:r>
      <w:r w:rsidRPr="005E0FDC">
        <w:rPr>
          <w:rFonts w:ascii="Times New Roman" w:hAnsi="Times New Roman" w:cs="Times New Roman"/>
          <w:sz w:val="24"/>
          <w:szCs w:val="24"/>
        </w:rPr>
        <w:t xml:space="preserve"> (</w:t>
      </w:r>
      <w:r w:rsidR="00E10812" w:rsidRPr="005E0FD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E0FDC">
        <w:rPr>
          <w:rFonts w:ascii="Times New Roman" w:hAnsi="Times New Roman" w:cs="Times New Roman"/>
          <w:sz w:val="24"/>
          <w:szCs w:val="24"/>
        </w:rPr>
        <w:t>Службени гласник РС</w:t>
      </w:r>
      <w:r w:rsidR="00A2384C" w:rsidRPr="005E0FDC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5E0FDC">
        <w:rPr>
          <w:rFonts w:ascii="Times New Roman" w:hAnsi="Times New Roman" w:cs="Times New Roman"/>
          <w:sz w:val="24"/>
          <w:szCs w:val="24"/>
        </w:rPr>
        <w:t>, број 140/22)</w:t>
      </w:r>
      <w:r w:rsidR="00942FF1" w:rsidRPr="005E0FD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98F748E" w14:textId="20D69C3A" w:rsidR="002D0E21" w:rsidRPr="005E0FDC" w:rsidRDefault="002D0E21" w:rsidP="005E0FDC">
      <w:pPr>
        <w:pStyle w:val="ListParagraph"/>
        <w:numPr>
          <w:ilvl w:val="0"/>
          <w:numId w:val="32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i/>
          <w:sz w:val="24"/>
          <w:szCs w:val="24"/>
        </w:rPr>
        <w:t>Национални план за смањење емисија главних загађујућих материја које потичу из старих великих постројења за сагоревање</w:t>
      </w:r>
      <w:r w:rsidRPr="005E0FDC">
        <w:rPr>
          <w:rFonts w:ascii="Times New Roman" w:hAnsi="Times New Roman" w:cs="Times New Roman"/>
          <w:sz w:val="24"/>
          <w:szCs w:val="24"/>
        </w:rPr>
        <w:t xml:space="preserve"> (</w:t>
      </w:r>
      <w:r w:rsidR="00E10812" w:rsidRPr="005E0FD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E0FDC">
        <w:rPr>
          <w:rFonts w:ascii="Times New Roman" w:hAnsi="Times New Roman" w:cs="Times New Roman"/>
          <w:sz w:val="24"/>
          <w:szCs w:val="24"/>
        </w:rPr>
        <w:t>Службени гласник РС</w:t>
      </w:r>
      <w:r w:rsidR="00A2384C" w:rsidRPr="005E0FDC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5E0FDC">
        <w:rPr>
          <w:rFonts w:ascii="Times New Roman" w:hAnsi="Times New Roman" w:cs="Times New Roman"/>
          <w:sz w:val="24"/>
          <w:szCs w:val="24"/>
        </w:rPr>
        <w:t>, број 10/20)</w:t>
      </w:r>
      <w:r w:rsidR="00942FF1" w:rsidRPr="005E0FD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F7732B0" w14:textId="60699019" w:rsidR="002D0E21" w:rsidRPr="005E0FDC" w:rsidRDefault="002D0E21" w:rsidP="005E0FDC">
      <w:pPr>
        <w:pStyle w:val="ListParagraph"/>
        <w:numPr>
          <w:ilvl w:val="0"/>
          <w:numId w:val="32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i/>
          <w:sz w:val="24"/>
          <w:szCs w:val="24"/>
        </w:rPr>
        <w:t>Стратегија нискоугљеничног развоја Републике Србије за период 2023-2030</w:t>
      </w:r>
      <w:r w:rsidR="00942FF1" w:rsidRPr="005E0FDC">
        <w:rPr>
          <w:rFonts w:ascii="Times New Roman" w:hAnsi="Times New Roman" w:cs="Times New Roman"/>
          <w:i/>
          <w:sz w:val="24"/>
          <w:szCs w:val="24"/>
          <w:lang w:val="sr-Cyrl-RS"/>
        </w:rPr>
        <w:t>. године</w:t>
      </w:r>
      <w:r w:rsidRPr="005E0FDC">
        <w:rPr>
          <w:rFonts w:ascii="Times New Roman" w:hAnsi="Times New Roman" w:cs="Times New Roman"/>
          <w:i/>
          <w:sz w:val="24"/>
          <w:szCs w:val="24"/>
        </w:rPr>
        <w:t xml:space="preserve"> са пројекцијама до 2050. године</w:t>
      </w:r>
      <w:r w:rsidRPr="005E0FDC">
        <w:rPr>
          <w:rFonts w:ascii="Times New Roman" w:hAnsi="Times New Roman" w:cs="Times New Roman"/>
          <w:sz w:val="24"/>
          <w:szCs w:val="24"/>
        </w:rPr>
        <w:t xml:space="preserve"> (</w:t>
      </w:r>
      <w:r w:rsidR="00E10812" w:rsidRPr="005E0FD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E0FDC">
        <w:rPr>
          <w:rFonts w:ascii="Times New Roman" w:hAnsi="Times New Roman" w:cs="Times New Roman"/>
          <w:sz w:val="24"/>
          <w:szCs w:val="24"/>
        </w:rPr>
        <w:t>Службени гласник РС</w:t>
      </w:r>
      <w:r w:rsidR="00942FF1" w:rsidRPr="005E0FDC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5E0FDC">
        <w:rPr>
          <w:rFonts w:ascii="Times New Roman" w:hAnsi="Times New Roman" w:cs="Times New Roman"/>
          <w:sz w:val="24"/>
          <w:szCs w:val="24"/>
        </w:rPr>
        <w:t>, број 46/23)</w:t>
      </w:r>
      <w:r w:rsidR="00942FF1" w:rsidRPr="005E0FD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AE0989B" w14:textId="3658BCB1" w:rsidR="002D0E21" w:rsidRPr="005E0FDC" w:rsidRDefault="002D0E21" w:rsidP="005E0FDC">
      <w:pPr>
        <w:pStyle w:val="ListParagraph"/>
        <w:numPr>
          <w:ilvl w:val="0"/>
          <w:numId w:val="32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i/>
          <w:sz w:val="24"/>
          <w:szCs w:val="24"/>
        </w:rPr>
        <w:t>Стратегија управљања водама на територији Републике Србије до 2034. године</w:t>
      </w:r>
      <w:r w:rsidRPr="005E0FDC">
        <w:rPr>
          <w:rFonts w:ascii="Times New Roman" w:hAnsi="Times New Roman" w:cs="Times New Roman"/>
          <w:sz w:val="24"/>
          <w:szCs w:val="24"/>
        </w:rPr>
        <w:t xml:space="preserve"> (,,Службени гласник РС</w:t>
      </w:r>
      <w:r w:rsidR="00942FF1" w:rsidRPr="005E0FDC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5E0FDC">
        <w:rPr>
          <w:rFonts w:ascii="Times New Roman" w:hAnsi="Times New Roman" w:cs="Times New Roman"/>
          <w:sz w:val="24"/>
          <w:szCs w:val="24"/>
        </w:rPr>
        <w:t>, број 3/17)</w:t>
      </w:r>
      <w:r w:rsidR="00942FF1" w:rsidRPr="005E0FD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54B1FCB" w14:textId="2BF4E68F" w:rsidR="002D0E21" w:rsidRPr="005E0FDC" w:rsidRDefault="002D0E21" w:rsidP="005E0FDC">
      <w:pPr>
        <w:pStyle w:val="ListParagraph"/>
        <w:numPr>
          <w:ilvl w:val="0"/>
          <w:numId w:val="32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i/>
          <w:sz w:val="24"/>
          <w:szCs w:val="24"/>
        </w:rPr>
        <w:t>Програм управљања отпадом за период 2022-2031</w:t>
      </w:r>
      <w:r w:rsidR="00942FF1" w:rsidRPr="005E0FDC">
        <w:rPr>
          <w:rFonts w:ascii="Times New Roman" w:hAnsi="Times New Roman" w:cs="Times New Roman"/>
          <w:i/>
          <w:sz w:val="24"/>
          <w:szCs w:val="24"/>
          <w:lang w:val="sr-Cyrl-RS"/>
        </w:rPr>
        <w:t>. године</w:t>
      </w:r>
      <w:r w:rsidR="00E16FC5" w:rsidRPr="005E0FD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</w:rPr>
        <w:t>(</w:t>
      </w:r>
      <w:r w:rsidR="00E10812" w:rsidRPr="005E0FD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E0FDC">
        <w:rPr>
          <w:rFonts w:ascii="Times New Roman" w:hAnsi="Times New Roman" w:cs="Times New Roman"/>
          <w:sz w:val="24"/>
          <w:szCs w:val="24"/>
        </w:rPr>
        <w:t>Службени гласник РС</w:t>
      </w:r>
      <w:r w:rsidR="00942FF1" w:rsidRPr="005E0FDC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5E0FDC">
        <w:rPr>
          <w:rFonts w:ascii="Times New Roman" w:hAnsi="Times New Roman" w:cs="Times New Roman"/>
          <w:sz w:val="24"/>
          <w:szCs w:val="24"/>
        </w:rPr>
        <w:t>, број 12/22) и Акционим Планом за период 2022-2024</w:t>
      </w:r>
      <w:r w:rsidR="00942FF1" w:rsidRPr="005E0FDC">
        <w:rPr>
          <w:rFonts w:ascii="Times New Roman" w:hAnsi="Times New Roman" w:cs="Times New Roman"/>
          <w:sz w:val="24"/>
          <w:szCs w:val="24"/>
          <w:lang w:val="sr-Cyrl-RS"/>
        </w:rPr>
        <w:t>. године;</w:t>
      </w:r>
    </w:p>
    <w:p w14:paraId="1E0F6C0A" w14:textId="5FFAE39C" w:rsidR="002D0E21" w:rsidRPr="005E0FDC" w:rsidRDefault="002D0E21" w:rsidP="005E0FDC">
      <w:pPr>
        <w:pStyle w:val="ListParagraph"/>
        <w:numPr>
          <w:ilvl w:val="0"/>
          <w:numId w:val="32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i/>
          <w:sz w:val="24"/>
          <w:szCs w:val="24"/>
        </w:rPr>
        <w:t>Програм развоја циркуларне економије у Републици Србији за период 2022-2024</w:t>
      </w:r>
      <w:r w:rsidR="00942FF1" w:rsidRPr="005E0FDC">
        <w:rPr>
          <w:rFonts w:ascii="Times New Roman" w:hAnsi="Times New Roman" w:cs="Times New Roman"/>
          <w:i/>
          <w:sz w:val="24"/>
          <w:szCs w:val="24"/>
          <w:lang w:val="sr-Cyrl-RS"/>
        </w:rPr>
        <w:t>. године</w:t>
      </w:r>
      <w:r w:rsidRPr="005E0FDC">
        <w:rPr>
          <w:rFonts w:ascii="Times New Roman" w:hAnsi="Times New Roman" w:cs="Times New Roman"/>
          <w:sz w:val="24"/>
          <w:szCs w:val="24"/>
        </w:rPr>
        <w:t xml:space="preserve"> (</w:t>
      </w:r>
      <w:r w:rsidR="00E10812" w:rsidRPr="005E0FD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E0FDC">
        <w:rPr>
          <w:rFonts w:ascii="Times New Roman" w:hAnsi="Times New Roman" w:cs="Times New Roman"/>
          <w:sz w:val="24"/>
          <w:szCs w:val="24"/>
        </w:rPr>
        <w:t>Службени гласник РС</w:t>
      </w:r>
      <w:r w:rsidR="00942FF1" w:rsidRPr="005E0FDC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5E0FDC">
        <w:rPr>
          <w:rFonts w:ascii="Times New Roman" w:hAnsi="Times New Roman" w:cs="Times New Roman"/>
          <w:sz w:val="24"/>
          <w:szCs w:val="24"/>
        </w:rPr>
        <w:t>, број 46/23)</w:t>
      </w:r>
      <w:r w:rsidR="00942FF1" w:rsidRPr="005E0F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AA09248" w14:textId="7C313379" w:rsidR="00C16D83" w:rsidRPr="005E0FDC" w:rsidRDefault="00BC710D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Израђен је </w:t>
      </w:r>
      <w:r w:rsidR="00A607C0"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6D83" w:rsidRPr="005E0FDC">
        <w:rPr>
          <w:rFonts w:ascii="Times New Roman" w:hAnsi="Times New Roman" w:cs="Times New Roman"/>
          <w:sz w:val="24"/>
          <w:szCs w:val="24"/>
        </w:rPr>
        <w:t>Стратегиј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16D83" w:rsidRPr="005E0FDC">
        <w:rPr>
          <w:rFonts w:ascii="Times New Roman" w:hAnsi="Times New Roman" w:cs="Times New Roman"/>
          <w:sz w:val="24"/>
          <w:szCs w:val="24"/>
        </w:rPr>
        <w:t xml:space="preserve"> заштите животне средине Републике Србије – Зелена агенда за Србију</w:t>
      </w:r>
      <w:r w:rsidR="00AD74B7" w:rsidRPr="005E0FDC">
        <w:rPr>
          <w:rFonts w:ascii="Times New Roman" w:hAnsi="Times New Roman" w:cs="Times New Roman"/>
          <w:sz w:val="24"/>
          <w:szCs w:val="24"/>
          <w:lang w:val="sr-Cyrl-RS"/>
        </w:rPr>
        <w:t>, која</w:t>
      </w:r>
      <w:r w:rsidR="00C16D83" w:rsidRPr="005E0FDC">
        <w:rPr>
          <w:rFonts w:ascii="Times New Roman" w:hAnsi="Times New Roman" w:cs="Times New Roman"/>
          <w:sz w:val="24"/>
          <w:szCs w:val="24"/>
        </w:rPr>
        <w:t xml:space="preserve"> представља кровни документ јавне  политике у области </w:t>
      </w:r>
      <w:r w:rsidR="00942FF1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заштите </w:t>
      </w:r>
      <w:r w:rsidR="00C16D83" w:rsidRPr="005E0FDC">
        <w:rPr>
          <w:rFonts w:ascii="Times New Roman" w:hAnsi="Times New Roman" w:cs="Times New Roman"/>
          <w:sz w:val="24"/>
          <w:szCs w:val="24"/>
        </w:rPr>
        <w:t>животне средине. Стратегијом се усмеравају мере и активности у правцу Зелене агенде, угљеничне неутралности, одрживог развоја, заштите природних ресурса и смањења загађења и унапређења квалитета живота свих грађана.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6D83" w:rsidRPr="005E0FDC">
        <w:rPr>
          <w:rFonts w:ascii="Times New Roman" w:hAnsi="Times New Roman" w:cs="Times New Roman"/>
          <w:sz w:val="24"/>
          <w:szCs w:val="24"/>
        </w:rPr>
        <w:t>У процесу израде Стратегије интегрисани су циљеви Зелене агенде, у складу са </w:t>
      </w:r>
      <w:hyperlink r:id="rId13" w:history="1">
        <w:r w:rsidR="00C16D83" w:rsidRPr="005E0F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Софијском декларацијом</w:t>
        </w:r>
      </w:hyperlink>
      <w:r w:rsidR="00C16D83" w:rsidRPr="005E0FDC">
        <w:rPr>
          <w:rFonts w:ascii="Times New Roman" w:hAnsi="Times New Roman" w:cs="Times New Roman"/>
          <w:sz w:val="24"/>
          <w:szCs w:val="24"/>
        </w:rPr>
        <w:t> коју је Србија потписала новембра 2020</w:t>
      </w:r>
      <w:r w:rsidR="00942FF1" w:rsidRPr="005E0FD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C16D83" w:rsidRPr="005E0FDC">
        <w:rPr>
          <w:rFonts w:ascii="Times New Roman" w:hAnsi="Times New Roman" w:cs="Times New Roman"/>
          <w:sz w:val="24"/>
          <w:szCs w:val="24"/>
        </w:rPr>
        <w:t>, као и мере за даље усклађивање са прописима и стандардима Европске уније, као и израду механизама за праћење спровођења Стратегије.</w:t>
      </w:r>
    </w:p>
    <w:p w14:paraId="048972F1" w14:textId="77777777" w:rsidR="009F5CE1" w:rsidRPr="005E0FDC" w:rsidRDefault="00BC710D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тратешки оквир препознао је </w:t>
      </w:r>
      <w:r w:rsidR="00AA15FF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потребу </w:t>
      </w:r>
      <w:r w:rsidR="07FD9BFB" w:rsidRPr="005E0FDC">
        <w:rPr>
          <w:rFonts w:ascii="Times New Roman" w:hAnsi="Times New Roman" w:cs="Times New Roman"/>
          <w:sz w:val="24"/>
          <w:szCs w:val="24"/>
        </w:rPr>
        <w:t>спровођењ</w:t>
      </w:r>
      <w:r w:rsidR="00AA15FF" w:rsidRPr="005E0F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IED Директиве као једну од кључних инструмент</w:t>
      </w:r>
      <w:r w:rsidR="00C968C9" w:rsidRPr="005E0F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ЕУ који регулише емисије загађујућих материја из индустријских постројења. </w:t>
      </w:r>
    </w:p>
    <w:p w14:paraId="2AFA6EBE" w14:textId="0690A7F7" w:rsidR="00C968C9" w:rsidRPr="005E0FDC" w:rsidRDefault="00C968C9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</w:rPr>
        <w:t xml:space="preserve">IED 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директива заменила је </w:t>
      </w:r>
      <w:r w:rsidR="07FD9BFB" w:rsidRPr="005E0FDC">
        <w:rPr>
          <w:rFonts w:ascii="Times New Roman" w:hAnsi="Times New Roman" w:cs="Times New Roman"/>
          <w:sz w:val="24"/>
          <w:szCs w:val="24"/>
          <w:lang w:val="sr-Cyrl-RS"/>
        </w:rPr>
        <w:t>IPPC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Директиву 2008/1/Е</w:t>
      </w:r>
      <w:r w:rsidR="07FD9BFB" w:rsidRPr="005E0FD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и</w:t>
      </w:r>
      <w:r w:rsidR="008606CB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00AE" w:rsidRPr="005E0FDC">
        <w:rPr>
          <w:rFonts w:ascii="Times New Roman" w:hAnsi="Times New Roman" w:cs="Times New Roman"/>
          <w:sz w:val="24"/>
          <w:szCs w:val="24"/>
          <w:lang w:val="sr-Cyrl-RS"/>
        </w:rPr>
        <w:t>још шест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секторских </w:t>
      </w:r>
      <w:r w:rsidR="00C63622" w:rsidRPr="005E0FD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7FD9BFB" w:rsidRPr="005E0FDC">
        <w:rPr>
          <w:rFonts w:ascii="Times New Roman" w:hAnsi="Times New Roman" w:cs="Times New Roman"/>
          <w:sz w:val="24"/>
          <w:szCs w:val="24"/>
        </w:rPr>
        <w:t>иректива</w:t>
      </w:r>
      <w:r w:rsidR="00C63622" w:rsidRPr="005E0F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EFBF04F" w14:textId="6856F198" w:rsidR="002D0E21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</w:rPr>
        <w:t xml:space="preserve">У складу са тим </w:t>
      </w:r>
      <w:r w:rsidR="0025275F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је и </w:t>
      </w:r>
      <w:r w:rsidR="00C968C9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основни циљ израде новог закона  усклађивање </w:t>
      </w:r>
      <w:r w:rsidRPr="005E0FDC">
        <w:rPr>
          <w:rFonts w:ascii="Times New Roman" w:hAnsi="Times New Roman" w:cs="Times New Roman"/>
          <w:sz w:val="24"/>
          <w:szCs w:val="24"/>
        </w:rPr>
        <w:t>национално</w:t>
      </w:r>
      <w:r w:rsidR="00C968C9" w:rsidRPr="005E0FD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E0FDC">
        <w:rPr>
          <w:rFonts w:ascii="Times New Roman" w:hAnsi="Times New Roman" w:cs="Times New Roman"/>
          <w:sz w:val="24"/>
          <w:szCs w:val="24"/>
        </w:rPr>
        <w:t xml:space="preserve"> законодав</w:t>
      </w:r>
      <w:r w:rsidR="00BC710D" w:rsidRPr="005E0FDC">
        <w:rPr>
          <w:rFonts w:ascii="Times New Roman" w:hAnsi="Times New Roman" w:cs="Times New Roman"/>
          <w:sz w:val="24"/>
          <w:szCs w:val="24"/>
          <w:lang w:val="sr-Cyrl-RS"/>
        </w:rPr>
        <w:t>ног оквира</w:t>
      </w:r>
      <w:r w:rsidRPr="005E0FDC">
        <w:rPr>
          <w:rFonts w:ascii="Times New Roman" w:hAnsi="Times New Roman" w:cs="Times New Roman"/>
          <w:sz w:val="24"/>
          <w:szCs w:val="24"/>
        </w:rPr>
        <w:t xml:space="preserve"> са </w:t>
      </w:r>
      <w:r w:rsidR="00C968C9" w:rsidRPr="005E0FDC">
        <w:rPr>
          <w:rFonts w:ascii="Times New Roman" w:hAnsi="Times New Roman" w:cs="Times New Roman"/>
          <w:sz w:val="24"/>
          <w:szCs w:val="24"/>
        </w:rPr>
        <w:t xml:space="preserve">IED </w:t>
      </w:r>
      <w:r w:rsidRPr="005E0FDC">
        <w:rPr>
          <w:rFonts w:ascii="Times New Roman" w:hAnsi="Times New Roman" w:cs="Times New Roman"/>
          <w:sz w:val="24"/>
          <w:szCs w:val="24"/>
        </w:rPr>
        <w:t xml:space="preserve">Директивом. </w:t>
      </w:r>
    </w:p>
    <w:p w14:paraId="417D94F8" w14:textId="77777777" w:rsidR="00F74971" w:rsidRPr="005E0FDC" w:rsidRDefault="07FD9BFB" w:rsidP="005E0F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i/>
          <w:iCs/>
          <w:sz w:val="24"/>
          <w:szCs w:val="24"/>
        </w:rPr>
        <w:t>Унапређење ЕУ правног оквира</w:t>
      </w:r>
      <w:r w:rsidRPr="005E0FDC">
        <w:rPr>
          <w:rFonts w:ascii="Times New Roman" w:hAnsi="Times New Roman" w:cs="Times New Roman"/>
          <w:sz w:val="24"/>
          <w:szCs w:val="24"/>
        </w:rPr>
        <w:t xml:space="preserve"> које је уследило доношењем IED Директиве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</w:rPr>
        <w:t>фокусирано је на:</w:t>
      </w:r>
      <w:r w:rsidR="00C968C9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FAAA103" w14:textId="77777777" w:rsidR="000A442A" w:rsidRPr="005E0FDC" w:rsidRDefault="002D0E21" w:rsidP="005E0FDC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</w:rPr>
        <w:t>појашњење и јачање концепта најбољих доступних техника (</w:t>
      </w:r>
      <w:r w:rsidR="00AD52FB" w:rsidRPr="005E0FDC">
        <w:rPr>
          <w:rFonts w:ascii="Times New Roman" w:hAnsi="Times New Roman" w:cs="Times New Roman"/>
          <w:sz w:val="24"/>
          <w:szCs w:val="24"/>
        </w:rPr>
        <w:t>BAT</w:t>
      </w:r>
      <w:r w:rsidRPr="005E0FDC">
        <w:rPr>
          <w:rFonts w:ascii="Times New Roman" w:hAnsi="Times New Roman" w:cs="Times New Roman"/>
          <w:sz w:val="24"/>
          <w:szCs w:val="24"/>
        </w:rPr>
        <w:t>);</w:t>
      </w:r>
      <w:r w:rsidR="00F74971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D4F48BF" w14:textId="14DCA4CA" w:rsidR="00F74971" w:rsidRPr="005E0FDC" w:rsidRDefault="002D0E21" w:rsidP="005E0FDC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</w:rPr>
        <w:t xml:space="preserve">ревизију минималних граничних вредности емисије (ГВЕ) за неке секторе (на пример, велика постројења за сагоревање) како би се ускладиле са </w:t>
      </w:r>
      <w:r w:rsidR="00AD52FB" w:rsidRPr="005E0FDC">
        <w:rPr>
          <w:rFonts w:ascii="Times New Roman" w:hAnsi="Times New Roman" w:cs="Times New Roman"/>
          <w:sz w:val="24"/>
          <w:szCs w:val="24"/>
        </w:rPr>
        <w:t>BAT</w:t>
      </w:r>
      <w:r w:rsidRPr="005E0FDC">
        <w:rPr>
          <w:rFonts w:ascii="Times New Roman" w:hAnsi="Times New Roman" w:cs="Times New Roman"/>
          <w:sz w:val="24"/>
          <w:szCs w:val="24"/>
        </w:rPr>
        <w:t xml:space="preserve"> стандардима; </w:t>
      </w:r>
    </w:p>
    <w:p w14:paraId="0B8C9796" w14:textId="23150264" w:rsidR="0014585C" w:rsidRPr="005E0FDC" w:rsidRDefault="002D0E21" w:rsidP="005E0FDC">
      <w:pPr>
        <w:pStyle w:val="ListParagraph"/>
        <w:numPr>
          <w:ilvl w:val="0"/>
          <w:numId w:val="38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</w:rPr>
        <w:t>подстицање иновација и развој и примену нових техника;</w:t>
      </w:r>
      <w:r w:rsidR="00C968C9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DF9797C" w14:textId="0A7B8BC9" w:rsidR="0011143D" w:rsidRPr="005E0FDC" w:rsidRDefault="002D0E21" w:rsidP="005E0FDC">
      <w:pPr>
        <w:pStyle w:val="ListParagraph"/>
        <w:numPr>
          <w:ilvl w:val="0"/>
          <w:numId w:val="38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</w:rPr>
        <w:t>поједностављивање и појашњавање одређених одредби о издавању дозвола, пра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5E0FDC">
        <w:rPr>
          <w:rFonts w:ascii="Times New Roman" w:hAnsi="Times New Roman" w:cs="Times New Roman"/>
          <w:sz w:val="24"/>
          <w:szCs w:val="24"/>
        </w:rPr>
        <w:t>ењу и извештавању ради смањења непотребних административних оптере</w:t>
      </w:r>
      <w:r w:rsidR="00C92B90" w:rsidRPr="005E0FDC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5E0FDC">
        <w:rPr>
          <w:rFonts w:ascii="Times New Roman" w:hAnsi="Times New Roman" w:cs="Times New Roman"/>
          <w:sz w:val="24"/>
          <w:szCs w:val="24"/>
        </w:rPr>
        <w:t xml:space="preserve">ења </w:t>
      </w:r>
      <w:r w:rsidR="00231FAA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</w:p>
    <w:p w14:paraId="6EEC14FD" w14:textId="7DCFC70A" w:rsidR="002D0E21" w:rsidRPr="005E0FDC" w:rsidRDefault="002D0E21" w:rsidP="005E0FDC">
      <w:pPr>
        <w:pStyle w:val="ListParagraph"/>
        <w:numPr>
          <w:ilvl w:val="0"/>
          <w:numId w:val="38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</w:rPr>
        <w:t xml:space="preserve">проширивање и појашњавање обима и одредби законодавства како би се боље допринело циљевима тематских стратегија. </w:t>
      </w:r>
    </w:p>
    <w:p w14:paraId="0D1F1904" w14:textId="29F3546E" w:rsidR="0096641E" w:rsidRPr="005E0FDC" w:rsidRDefault="002D0E21" w:rsidP="005E0FDC">
      <w:pPr>
        <w:tabs>
          <w:tab w:val="left" w:pos="0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</w:rPr>
        <w:lastRenderedPageBreak/>
        <w:t xml:space="preserve">Имајући све то у виду, процес хармонизације законске регулативе у </w:t>
      </w:r>
      <w:r w:rsidR="000A442A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Републици </w:t>
      </w:r>
      <w:r w:rsidRPr="005E0FDC">
        <w:rPr>
          <w:rFonts w:ascii="Times New Roman" w:hAnsi="Times New Roman" w:cs="Times New Roman"/>
          <w:sz w:val="24"/>
          <w:szCs w:val="24"/>
        </w:rPr>
        <w:t>Србији са законском регулативом Е</w:t>
      </w:r>
      <w:r w:rsidR="00C92B90" w:rsidRPr="005E0FD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="003D0DF1" w:rsidRPr="005E0FDC">
        <w:rPr>
          <w:rFonts w:ascii="Times New Roman" w:hAnsi="Times New Roman" w:cs="Times New Roman"/>
          <w:sz w:val="24"/>
          <w:szCs w:val="24"/>
          <w:lang w:val="sr-Cyrl-RS"/>
        </w:rPr>
        <w:t>је потреб</w:t>
      </w:r>
      <w:r w:rsidR="0011143D" w:rsidRPr="005E0F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D0DF1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и захтев</w:t>
      </w:r>
      <w:r w:rsidR="0011143D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Pr="005E0FDC">
        <w:rPr>
          <w:rFonts w:ascii="Times New Roman" w:hAnsi="Times New Roman" w:cs="Times New Roman"/>
          <w:sz w:val="24"/>
          <w:szCs w:val="24"/>
        </w:rPr>
        <w:t xml:space="preserve"> иновирање законских и по</w:t>
      </w:r>
      <w:r w:rsidR="00130A45" w:rsidRPr="005E0FDC">
        <w:rPr>
          <w:rFonts w:ascii="Times New Roman" w:hAnsi="Times New Roman" w:cs="Times New Roman"/>
          <w:sz w:val="24"/>
          <w:szCs w:val="24"/>
          <w:lang w:val="sr-Cyrl-RS"/>
        </w:rPr>
        <w:t>дз</w:t>
      </w:r>
      <w:r w:rsidR="009F0A8B" w:rsidRPr="005E0F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0FDC">
        <w:rPr>
          <w:rFonts w:ascii="Times New Roman" w:hAnsi="Times New Roman" w:cs="Times New Roman"/>
          <w:sz w:val="24"/>
          <w:szCs w:val="24"/>
        </w:rPr>
        <w:t>конских аката, којима ће се обезбедити усаглашавање са изменама правног оквира ЕУ настал</w:t>
      </w:r>
      <w:r w:rsidR="00514AAC" w:rsidRPr="005E0FDC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E0FDC">
        <w:rPr>
          <w:rFonts w:ascii="Times New Roman" w:hAnsi="Times New Roman" w:cs="Times New Roman"/>
          <w:sz w:val="24"/>
          <w:szCs w:val="24"/>
        </w:rPr>
        <w:t xml:space="preserve"> након доношења важећег закона, чиме ће се створити услови за унапређење стања у овој области</w:t>
      </w:r>
      <w:r w:rsidR="00061970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у Републици Србији</w:t>
      </w:r>
      <w:r w:rsidRPr="005E0FDC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14:paraId="2C0AC9E3" w14:textId="77777777" w:rsidR="000A442A" w:rsidRPr="005E0FDC" w:rsidRDefault="000A442A" w:rsidP="005E0FDC">
      <w:pPr>
        <w:tabs>
          <w:tab w:val="left" w:pos="0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8AC14" w14:textId="48323F46" w:rsidR="00DE16CF" w:rsidRPr="005E0FDC" w:rsidRDefault="00DE16CF" w:rsidP="005E0FDC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2. Циљ</w:t>
      </w:r>
      <w:r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израде закона</w:t>
      </w:r>
      <w:r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и очекивани ефекти закона</w:t>
      </w:r>
    </w:p>
    <w:p w14:paraId="3EFFDB03" w14:textId="44EF76E1" w:rsidR="00DE16CF" w:rsidRPr="005E0FDC" w:rsidRDefault="00DE16CF" w:rsidP="005E0FDC">
      <w:pPr>
        <w:tabs>
          <w:tab w:val="left" w:pos="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2.1 Циљ </w:t>
      </w:r>
      <w:r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израде новог закона</w:t>
      </w:r>
    </w:p>
    <w:p w14:paraId="37F0A3AA" w14:textId="76BBF115" w:rsidR="00DE16CF" w:rsidRPr="005E0FDC" w:rsidRDefault="00DE16CF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Циљ израде новог закона о интегрисаном спречавању и контроли загађивања животне средине  је усаглашавање законодавног оквира са </w:t>
      </w:r>
      <w:r w:rsidRPr="005E0FDC">
        <w:rPr>
          <w:rFonts w:ascii="Times New Roman" w:hAnsi="Times New Roman" w:cs="Times New Roman"/>
          <w:sz w:val="24"/>
          <w:szCs w:val="24"/>
        </w:rPr>
        <w:t>IED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Директивом</w:t>
      </w:r>
      <w:r w:rsidRPr="005E0FDC">
        <w:rPr>
          <w:rFonts w:ascii="Times New Roman" w:hAnsi="Times New Roman" w:cs="Times New Roman"/>
          <w:sz w:val="24"/>
          <w:szCs w:val="24"/>
        </w:rPr>
        <w:t>.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25C38581" w14:textId="7D2950D7" w:rsidR="00DE16CF" w:rsidRPr="005E0FDC" w:rsidRDefault="00DE16CF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</w:rPr>
        <w:t xml:space="preserve">Директива о индустријским емисијама 2010/75/ЕЗ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5E0FDC">
        <w:rPr>
          <w:rFonts w:ascii="Times New Roman" w:hAnsi="Times New Roman" w:cs="Times New Roman"/>
          <w:sz w:val="24"/>
          <w:szCs w:val="24"/>
        </w:rPr>
        <w:t>резултат ревизије европских прописа о индустријским емисијама</w:t>
      </w:r>
      <w:r w:rsidR="00892B91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2B91" w:rsidRPr="005E0FDC">
        <w:rPr>
          <w:rFonts w:ascii="Times New Roman" w:hAnsi="Times New Roman" w:cs="Times New Roman"/>
          <w:sz w:val="24"/>
          <w:szCs w:val="24"/>
        </w:rPr>
        <w:t>IED</w:t>
      </w:r>
      <w:r w:rsidR="00892B91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Директивом</w:t>
      </w:r>
      <w:r w:rsidR="00892B91"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="00892B91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замењене су</w:t>
      </w:r>
      <w:r w:rsidR="003C081D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5E0FDC">
        <w:rPr>
          <w:rFonts w:ascii="Times New Roman" w:hAnsi="Times New Roman" w:cs="Times New Roman"/>
          <w:sz w:val="24"/>
          <w:szCs w:val="24"/>
        </w:rPr>
        <w:t>Директива о интегрисаном спречавању и контроли загађивања животне средине (</w:t>
      </w:r>
      <w:r w:rsidR="003C081D" w:rsidRPr="005E0FDC">
        <w:rPr>
          <w:rFonts w:ascii="Times New Roman" w:hAnsi="Times New Roman" w:cs="Times New Roman"/>
          <w:sz w:val="24"/>
          <w:szCs w:val="24"/>
        </w:rPr>
        <w:t>IPPC</w:t>
      </w:r>
      <w:r w:rsidRPr="005E0FDC">
        <w:rPr>
          <w:rFonts w:ascii="Times New Roman" w:hAnsi="Times New Roman" w:cs="Times New Roman"/>
          <w:sz w:val="24"/>
          <w:szCs w:val="24"/>
        </w:rPr>
        <w:t>)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0FDC">
        <w:rPr>
          <w:rFonts w:ascii="Times New Roman" w:hAnsi="Times New Roman" w:cs="Times New Roman"/>
          <w:sz w:val="24"/>
          <w:szCs w:val="24"/>
        </w:rPr>
        <w:t xml:space="preserve">  Директива о великим ложиштима (</w:t>
      </w:r>
      <w:r w:rsidR="003C081D" w:rsidRPr="005E0FDC">
        <w:rPr>
          <w:rFonts w:ascii="Times New Roman" w:hAnsi="Times New Roman" w:cs="Times New Roman"/>
          <w:sz w:val="24"/>
          <w:szCs w:val="24"/>
        </w:rPr>
        <w:t>LCP</w:t>
      </w:r>
      <w:r w:rsidRPr="005E0FDC">
        <w:rPr>
          <w:rFonts w:ascii="Times New Roman" w:hAnsi="Times New Roman" w:cs="Times New Roman"/>
          <w:sz w:val="24"/>
          <w:szCs w:val="24"/>
        </w:rPr>
        <w:t>)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E0FDC">
        <w:rPr>
          <w:rFonts w:ascii="Times New Roman" w:hAnsi="Times New Roman" w:cs="Times New Roman"/>
          <w:sz w:val="24"/>
          <w:szCs w:val="24"/>
        </w:rPr>
        <w:t>Директива о инсинерацији отпада (</w:t>
      </w:r>
      <w:r w:rsidR="002C4292" w:rsidRPr="005E0FDC">
        <w:rPr>
          <w:rFonts w:ascii="Times New Roman" w:hAnsi="Times New Roman" w:cs="Times New Roman"/>
          <w:sz w:val="24"/>
          <w:szCs w:val="24"/>
        </w:rPr>
        <w:t>W</w:t>
      </w:r>
      <w:r w:rsidR="003C081D" w:rsidRPr="005E0FDC">
        <w:rPr>
          <w:rFonts w:ascii="Times New Roman" w:hAnsi="Times New Roman" w:cs="Times New Roman"/>
          <w:sz w:val="24"/>
          <w:szCs w:val="24"/>
        </w:rPr>
        <w:t>ID</w:t>
      </w:r>
      <w:r w:rsidRPr="005E0FDC">
        <w:rPr>
          <w:rFonts w:ascii="Times New Roman" w:hAnsi="Times New Roman" w:cs="Times New Roman"/>
          <w:sz w:val="24"/>
          <w:szCs w:val="24"/>
        </w:rPr>
        <w:t>)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E0FDC">
        <w:rPr>
          <w:rFonts w:ascii="Times New Roman" w:hAnsi="Times New Roman" w:cs="Times New Roman"/>
          <w:sz w:val="24"/>
          <w:szCs w:val="24"/>
        </w:rPr>
        <w:t>Директива о емисијама растварача (</w:t>
      </w:r>
      <w:r w:rsidR="002C4292" w:rsidRPr="005E0FDC">
        <w:rPr>
          <w:rFonts w:ascii="Times New Roman" w:hAnsi="Times New Roman" w:cs="Times New Roman"/>
          <w:sz w:val="24"/>
          <w:szCs w:val="24"/>
        </w:rPr>
        <w:t>SED</w:t>
      </w:r>
      <w:r w:rsidRPr="005E0FDC">
        <w:rPr>
          <w:rFonts w:ascii="Times New Roman" w:hAnsi="Times New Roman" w:cs="Times New Roman"/>
          <w:sz w:val="24"/>
          <w:szCs w:val="24"/>
        </w:rPr>
        <w:t>)</w:t>
      </w:r>
      <w:r w:rsidR="000A442A" w:rsidRPr="005E0F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="00FF735D"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="00FF735D" w:rsidRPr="005E0FDC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35D" w:rsidRPr="005E0FD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5E0FDC">
        <w:rPr>
          <w:rFonts w:ascii="Times New Roman" w:hAnsi="Times New Roman" w:cs="Times New Roman"/>
          <w:sz w:val="24"/>
          <w:szCs w:val="24"/>
        </w:rPr>
        <w:t>ри директиве о титан-диоксиду.</w:t>
      </w:r>
    </w:p>
    <w:p w14:paraId="58E56A0C" w14:textId="65630D61" w:rsidR="00DE16CF" w:rsidRPr="005E0FDC" w:rsidRDefault="00DE16CF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</w:rPr>
        <w:t xml:space="preserve">Главни иновативни концепти су: проширење садржаја </w:t>
      </w:r>
      <w:r w:rsidR="00C90874" w:rsidRPr="005E0FDC">
        <w:rPr>
          <w:rFonts w:ascii="Times New Roman" w:hAnsi="Times New Roman" w:cs="Times New Roman"/>
          <w:sz w:val="24"/>
          <w:szCs w:val="24"/>
        </w:rPr>
        <w:t>IPPC</w:t>
      </w:r>
      <w:r w:rsidRPr="005E0FDC">
        <w:rPr>
          <w:rFonts w:ascii="Times New Roman" w:hAnsi="Times New Roman" w:cs="Times New Roman"/>
          <w:sz w:val="24"/>
          <w:szCs w:val="24"/>
        </w:rPr>
        <w:t xml:space="preserve"> активности;  </w:t>
      </w:r>
      <w:r w:rsidR="00AE19FD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давање акцента на </w:t>
      </w:r>
      <w:r w:rsidRPr="005E0FDC">
        <w:rPr>
          <w:rFonts w:ascii="Times New Roman" w:hAnsi="Times New Roman" w:cs="Times New Roman"/>
          <w:sz w:val="24"/>
          <w:szCs w:val="24"/>
        </w:rPr>
        <w:t>најбољим доступним техникама (</w:t>
      </w:r>
      <w:r w:rsidR="00AD52FB" w:rsidRPr="005E0FDC">
        <w:rPr>
          <w:rFonts w:ascii="Times New Roman" w:hAnsi="Times New Roman" w:cs="Times New Roman"/>
          <w:sz w:val="24"/>
          <w:szCs w:val="24"/>
        </w:rPr>
        <w:t>BAT</w:t>
      </w:r>
      <w:r w:rsidRPr="005E0FDC">
        <w:rPr>
          <w:rFonts w:ascii="Times New Roman" w:hAnsi="Times New Roman" w:cs="Times New Roman"/>
          <w:sz w:val="24"/>
          <w:szCs w:val="24"/>
        </w:rPr>
        <w:t>) (</w:t>
      </w:r>
      <w:r w:rsidR="00AE19FD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Pr="005E0FDC">
        <w:rPr>
          <w:rFonts w:ascii="Times New Roman" w:hAnsi="Times New Roman" w:cs="Times New Roman"/>
          <w:sz w:val="24"/>
          <w:szCs w:val="24"/>
        </w:rPr>
        <w:t xml:space="preserve">референтних докумената </w:t>
      </w:r>
      <w:r w:rsidR="000424E9" w:rsidRPr="005E0FDC">
        <w:rPr>
          <w:rFonts w:ascii="Times New Roman" w:hAnsi="Times New Roman" w:cs="Times New Roman"/>
          <w:sz w:val="24"/>
          <w:szCs w:val="24"/>
        </w:rPr>
        <w:t>(BREF)</w:t>
      </w:r>
      <w:r w:rsidR="002E35C8"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</w:rPr>
        <w:t>– одлука ЕУ којима се утврђују нови оперативни услови и граничне вредности);  учесталост инспекције у области заштите животне средине</w:t>
      </w:r>
      <w:r w:rsidR="00BC710D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и др.</w:t>
      </w:r>
    </w:p>
    <w:p w14:paraId="7422336F" w14:textId="33D6A637" w:rsidR="00DE16CF" w:rsidRPr="005E0FDC" w:rsidRDefault="00AE19FD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>Основни</w:t>
      </w:r>
      <w:r w:rsidR="00DE16CF" w:rsidRPr="005E0FDC">
        <w:rPr>
          <w:rFonts w:ascii="Times New Roman" w:hAnsi="Times New Roman" w:cs="Times New Roman"/>
          <w:sz w:val="24"/>
          <w:szCs w:val="24"/>
        </w:rPr>
        <w:t xml:space="preserve"> принципи се односе на: процену различитих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утицаја</w:t>
      </w:r>
      <w:r w:rsidR="00DE16CF"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DE16CF" w:rsidRPr="005E0FDC">
        <w:rPr>
          <w:rFonts w:ascii="Times New Roman" w:hAnsi="Times New Roman" w:cs="Times New Roman"/>
          <w:sz w:val="24"/>
          <w:szCs w:val="24"/>
        </w:rPr>
        <w:t xml:space="preserve"> ограничавања преласка загађења из једног сектора у други; приступ управљањ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16CF" w:rsidRPr="005E0FDC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E16CF" w:rsidRPr="005E0FDC">
        <w:rPr>
          <w:rFonts w:ascii="Times New Roman" w:hAnsi="Times New Roman" w:cs="Times New Roman"/>
          <w:sz w:val="24"/>
          <w:szCs w:val="24"/>
        </w:rPr>
        <w:t xml:space="preserve"> укљу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чивањем</w:t>
      </w:r>
      <w:r w:rsidR="00DE16CF" w:rsidRPr="005E0FDC">
        <w:rPr>
          <w:rFonts w:ascii="Times New Roman" w:hAnsi="Times New Roman" w:cs="Times New Roman"/>
          <w:sz w:val="24"/>
          <w:szCs w:val="24"/>
        </w:rPr>
        <w:t xml:space="preserve"> оператера као активног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6CF" w:rsidRPr="005E0FDC">
        <w:rPr>
          <w:rFonts w:ascii="Times New Roman" w:hAnsi="Times New Roman" w:cs="Times New Roman"/>
          <w:sz w:val="24"/>
          <w:szCs w:val="24"/>
        </w:rPr>
        <w:t xml:space="preserve">субјекта; развој плана мониторинга у компанији која покрива целокупно важење </w:t>
      </w:r>
      <w:r w:rsidR="0059456A" w:rsidRPr="005E0FDC">
        <w:rPr>
          <w:rFonts w:ascii="Times New Roman" w:hAnsi="Times New Roman" w:cs="Times New Roman"/>
          <w:sz w:val="24"/>
          <w:szCs w:val="24"/>
        </w:rPr>
        <w:t>(</w:t>
      </w:r>
      <w:r w:rsidR="0059456A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дозволе) </w:t>
      </w:r>
      <w:r w:rsidR="00DE16CF" w:rsidRPr="005E0FDC">
        <w:rPr>
          <w:rFonts w:ascii="Times New Roman" w:hAnsi="Times New Roman" w:cs="Times New Roman"/>
          <w:sz w:val="24"/>
          <w:szCs w:val="24"/>
        </w:rPr>
        <w:t>ауторизације; транспарентност процеса, укључење јавности и свих заинтересованих страна; инспекцијск</w:t>
      </w:r>
      <w:r w:rsidR="00BC710D" w:rsidRPr="005E0FD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E16CF" w:rsidRPr="005E0FDC">
        <w:rPr>
          <w:rFonts w:ascii="Times New Roman" w:hAnsi="Times New Roman" w:cs="Times New Roman"/>
          <w:sz w:val="24"/>
          <w:szCs w:val="24"/>
        </w:rPr>
        <w:t xml:space="preserve"> надзор и праћењe;</w:t>
      </w:r>
      <w:r w:rsidR="00BC710D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6CF" w:rsidRPr="005E0FDC">
        <w:rPr>
          <w:rFonts w:ascii="Times New Roman" w:hAnsi="Times New Roman" w:cs="Times New Roman"/>
          <w:sz w:val="24"/>
          <w:szCs w:val="24"/>
          <w:lang w:val="sr-Cyrl-RS"/>
        </w:rPr>
        <w:t>издавање дозвола засн</w:t>
      </w:r>
      <w:r w:rsidR="00DC1373" w:rsidRPr="005E0FDC">
        <w:rPr>
          <w:rFonts w:ascii="Times New Roman" w:hAnsi="Times New Roman" w:cs="Times New Roman"/>
          <w:sz w:val="24"/>
          <w:szCs w:val="24"/>
          <w:lang w:val="sr-Cyrl-RS"/>
        </w:rPr>
        <w:t>овано</w:t>
      </w:r>
      <w:r w:rsidR="00DE16CF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на најбољим доступним техникама;</w:t>
      </w:r>
      <w:r w:rsidR="00DE16CF"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="00DE16CF" w:rsidRPr="005E0FDC">
        <w:rPr>
          <w:rFonts w:ascii="Times New Roman" w:hAnsi="Times New Roman" w:cs="Times New Roman"/>
          <w:sz w:val="24"/>
          <w:szCs w:val="24"/>
          <w:lang w:val="sr-Cyrl-RS"/>
        </w:rPr>
        <w:t>стимулисање иновативности подстицањем развоја и примене техника у настајању;</w:t>
      </w:r>
      <w:r w:rsidR="00DE16CF"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="00DE16CF" w:rsidRPr="005E0FDC">
        <w:rPr>
          <w:rFonts w:ascii="Times New Roman" w:hAnsi="Times New Roman" w:cs="Times New Roman"/>
          <w:sz w:val="24"/>
          <w:szCs w:val="24"/>
          <w:lang w:val="sr-Cyrl-RS"/>
        </w:rPr>
        <w:t>обезбеђивање поједностављеног и јасног правног оквира;</w:t>
      </w:r>
      <w:r w:rsidR="00DE16CF"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="00DE16CF" w:rsidRPr="005E0FDC">
        <w:rPr>
          <w:rFonts w:ascii="Times New Roman" w:hAnsi="Times New Roman" w:cs="Times New Roman"/>
          <w:sz w:val="24"/>
          <w:szCs w:val="24"/>
          <w:lang w:val="sr-Cyrl-RS"/>
        </w:rPr>
        <w:t>смањење административног оптерећења</w:t>
      </w:r>
      <w:r w:rsidR="000A442A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и др.</w:t>
      </w:r>
    </w:p>
    <w:p w14:paraId="15D2343E" w14:textId="2DC04D74" w:rsidR="00DE113C" w:rsidRPr="005E0FDC" w:rsidRDefault="008B4AE2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Осим тога, циљ је </w:t>
      </w:r>
      <w:r w:rsidR="000B4D0A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стварање</w:t>
      </w:r>
      <w:r w:rsidR="000B4D0A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ефикаснијег система праћења и контроле потенцијалних загађивача, успостављањем  информациони система, </w:t>
      </w:r>
      <w:r w:rsidR="0002132B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који би се </w:t>
      </w:r>
      <w:r w:rsidR="00DE113C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користио као алат за вођење поступака и издавање интегрисаних дозвола, био и база података за инспекцијску контролу, али би истовремено и аутоматски ажурирао </w:t>
      </w:r>
      <w:r w:rsidR="009E1DCE" w:rsidRPr="005E0FDC">
        <w:rPr>
          <w:rFonts w:ascii="Times New Roman" w:hAnsi="Times New Roman" w:cs="Times New Roman"/>
          <w:sz w:val="24"/>
          <w:szCs w:val="24"/>
          <w:lang w:val="sr-Cyrl-RS"/>
        </w:rPr>
        <w:t>Национални р</w:t>
      </w:r>
      <w:r w:rsidR="00DE113C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егистар издатих дозвола, </w:t>
      </w:r>
      <w:r w:rsidR="00DE113C" w:rsidRPr="005E0FDC">
        <w:rPr>
          <w:rFonts w:ascii="Times New Roman" w:hAnsi="Times New Roman" w:cs="Times New Roman"/>
          <w:sz w:val="24"/>
          <w:szCs w:val="24"/>
        </w:rPr>
        <w:t xml:space="preserve">о свим интегрисаним дозволама издатим на различитим нивоима. </w:t>
      </w:r>
      <w:r w:rsidR="00DE113C" w:rsidRPr="005E0FDC">
        <w:rPr>
          <w:rFonts w:ascii="Times New Roman" w:hAnsi="Times New Roman" w:cs="Times New Roman"/>
          <w:sz w:val="24"/>
          <w:szCs w:val="24"/>
          <w:lang w:val="sr-Cyrl-RS"/>
        </w:rPr>
        <w:t>Осим тога информацион систем би садржавао и</w:t>
      </w:r>
      <w:bookmarkStart w:id="6" w:name="_Hlk189843679"/>
      <w:r w:rsidR="00DE113C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информације неопходне за вођење поступака за оператере који су предмет размена информација о прекограничном утицају, а к</w:t>
      </w:r>
      <w:r w:rsidR="007F7D02" w:rsidRPr="005E0FD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E113C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ји се спроводи преко процедура прекограничних консултација (обједињеним путем </w:t>
      </w:r>
      <w:r w:rsidR="00CF01E6" w:rsidRPr="005E0FD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F01E6" w:rsidRPr="005E0FDC">
        <w:rPr>
          <w:rFonts w:ascii="Times New Roman" w:hAnsi="Times New Roman" w:cs="Times New Roman"/>
          <w:sz w:val="24"/>
          <w:szCs w:val="24"/>
        </w:rPr>
        <w:t>SPOO</w:t>
      </w:r>
      <w:r w:rsidR="00DE113C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процедура).</w:t>
      </w:r>
      <w:bookmarkEnd w:id="6"/>
    </w:p>
    <w:p w14:paraId="5F1C2ACC" w14:textId="24A5C1F7" w:rsidR="00DE16CF" w:rsidRPr="005E0FDC" w:rsidRDefault="00BB664D" w:rsidP="005E0FDC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Предвиђено је да се </w:t>
      </w:r>
      <w:r w:rsidR="009E1DCE" w:rsidRPr="005E0FDC">
        <w:rPr>
          <w:rFonts w:ascii="Times New Roman" w:hAnsi="Times New Roman" w:cs="Times New Roman"/>
          <w:sz w:val="24"/>
          <w:szCs w:val="24"/>
          <w:lang w:val="sr-Cyrl-RS"/>
        </w:rPr>
        <w:t>Национални р</w:t>
      </w:r>
      <w:r w:rsidRPr="005E0FDC">
        <w:rPr>
          <w:rFonts w:ascii="Times New Roman" w:hAnsi="Times New Roman" w:cs="Times New Roman"/>
          <w:sz w:val="24"/>
          <w:szCs w:val="24"/>
        </w:rPr>
        <w:t>егистар издатих дозвола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E0FDC">
        <w:rPr>
          <w:rFonts w:ascii="Times New Roman" w:hAnsi="Times New Roman" w:cs="Times New Roman"/>
          <w:sz w:val="24"/>
          <w:szCs w:val="24"/>
        </w:rPr>
        <w:t>који би обухватао информације о свим интегрисаним дозволама издатим на различитим нивоима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, као јавно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доступни  документ</w:t>
      </w:r>
      <w:r w:rsidR="0093444B" w:rsidRPr="005E0F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води као један од производа („</w:t>
      </w:r>
      <w:r w:rsidRPr="005E0FDC">
        <w:rPr>
          <w:rFonts w:ascii="Times New Roman" w:hAnsi="Times New Roman" w:cs="Times New Roman"/>
          <w:sz w:val="24"/>
          <w:szCs w:val="24"/>
        </w:rPr>
        <w:t>in-put</w:t>
      </w:r>
      <w:r w:rsidR="001F0BC7" w:rsidRPr="005E0FDC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Pr="005E0FDC">
        <w:rPr>
          <w:rFonts w:ascii="Times New Roman" w:hAnsi="Times New Roman" w:cs="Times New Roman"/>
          <w:sz w:val="24"/>
          <w:szCs w:val="24"/>
        </w:rPr>
        <w:t>)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кроз успостављање новог информационог система</w:t>
      </w:r>
      <w:r w:rsidRPr="005E0F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E0748" w14:textId="05E93AE9" w:rsidR="00D35A57" w:rsidRPr="005E0FDC" w:rsidRDefault="00DE16CF" w:rsidP="005E0FDC">
      <w:pPr>
        <w:tabs>
          <w:tab w:val="left" w:pos="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2.2. Очекивани ефекти закона</w:t>
      </w:r>
    </w:p>
    <w:p w14:paraId="1E19272E" w14:textId="4740FA92" w:rsidR="0032349C" w:rsidRPr="005E0FDC" w:rsidRDefault="00520463" w:rsidP="005E0FDC">
      <w:pPr>
        <w:tabs>
          <w:tab w:val="left" w:pos="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Очекује се да ће е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фекти 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доношења новог закона</w:t>
      </w:r>
      <w:r w:rsidR="0093444B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донети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квалитативно унапређење нивоа заштите 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животне средине од индустријског загађ</w:t>
      </w:r>
      <w:r w:rsidR="009256C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ивања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</w:t>
      </w:r>
    </w:p>
    <w:p w14:paraId="60AE13CC" w14:textId="193CF9D9" w:rsidR="00096500" w:rsidRPr="005E0FDC" w:rsidRDefault="004A2FB0" w:rsidP="005E0FDC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IPPC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Закон</w:t>
      </w:r>
      <w:r w:rsidR="00AE19FD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AE19FD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је </w:t>
      </w:r>
      <w:r w:rsidR="00AE19FD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у моменту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свог </w:t>
      </w:r>
      <w:r w:rsidR="00AE19FD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доношења</w:t>
      </w:r>
      <w:r w:rsidR="00AE19FD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4A5794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унео 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стандарде у области заштите 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животне средине од индустријског загађ</w:t>
      </w:r>
      <w:r w:rsidR="009256C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ивања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У међувремену је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на међународном нивоу и 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Европској </w:t>
      </w:r>
      <w:r w:rsidR="001F0BC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нији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E19FD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наступио 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интензиван развој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законодав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не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активност,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који је не</w:t>
      </w:r>
      <w:r w:rsidR="001039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миновно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резултовао потребу да се  постојећи 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Закон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усклади</w:t>
      </w:r>
      <w:r w:rsidR="00F31FB0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са позитивним трендом промена</w:t>
      </w:r>
      <w:r w:rsidR="00002D7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4AB6B333" w14:textId="77777777" w:rsidR="006962BD" w:rsidRPr="005E0FDC" w:rsidRDefault="00002D7C" w:rsidP="005E0FDC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Очекивани ефекти </w:t>
      </w:r>
      <w:r w:rsidR="006962BD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доношења новог закона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су: </w:t>
      </w:r>
      <w:r w:rsidR="00096500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159DB007" w14:textId="77777777" w:rsidR="006962BD" w:rsidRPr="0010399D" w:rsidRDefault="002C3F76" w:rsidP="005E0FDC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039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Висок ниво </w:t>
      </w:r>
      <w:r w:rsidRPr="0010399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7FD9BFB" w:rsidRPr="0010399D">
        <w:rPr>
          <w:rFonts w:ascii="Times New Roman" w:hAnsi="Times New Roman" w:cs="Times New Roman"/>
          <w:sz w:val="24"/>
          <w:szCs w:val="24"/>
          <w:lang w:val="sr-Cyrl-RS"/>
        </w:rPr>
        <w:t>склађ</w:t>
      </w:r>
      <w:r w:rsidRPr="0010399D">
        <w:rPr>
          <w:rFonts w:ascii="Times New Roman" w:hAnsi="Times New Roman" w:cs="Times New Roman"/>
          <w:sz w:val="24"/>
          <w:szCs w:val="24"/>
          <w:lang w:val="sr-Cyrl-RS"/>
        </w:rPr>
        <w:t>ености</w:t>
      </w:r>
      <w:r w:rsidR="07FD9BFB" w:rsidRPr="0010399D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7FD9BFB" w:rsidRPr="0010399D">
        <w:rPr>
          <w:rFonts w:ascii="Times New Roman" w:hAnsi="Times New Roman" w:cs="Times New Roman"/>
          <w:sz w:val="24"/>
          <w:szCs w:val="24"/>
        </w:rPr>
        <w:t>IED</w:t>
      </w:r>
      <w:r w:rsidR="07FD9BFB" w:rsidRPr="0010399D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Директивом</w:t>
      </w:r>
      <w:r w:rsidR="00096500" w:rsidRPr="0010399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002D7C" w:rsidRPr="001039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E8664EB" w14:textId="789C1A33" w:rsidR="00C613FA" w:rsidRPr="005E0FDC" w:rsidRDefault="00096500" w:rsidP="005E0FDC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0399D">
        <w:rPr>
          <w:rFonts w:ascii="Times New Roman" w:hAnsi="Times New Roman" w:cs="Times New Roman"/>
          <w:sz w:val="24"/>
          <w:szCs w:val="24"/>
          <w:lang w:val="sr-Cyrl-RS"/>
        </w:rPr>
        <w:t>Заокруживање регулаторног оквира кроз доношење подзаконских прописа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</w:rPr>
        <w:t>обезбе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ђивање</w:t>
      </w:r>
      <w:r w:rsidRPr="005E0FDC">
        <w:rPr>
          <w:rFonts w:ascii="Times New Roman" w:hAnsi="Times New Roman" w:cs="Times New Roman"/>
          <w:sz w:val="24"/>
          <w:szCs w:val="24"/>
        </w:rPr>
        <w:t xml:space="preserve"> правн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E0FDC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0FDC">
        <w:rPr>
          <w:rFonts w:ascii="Times New Roman" w:hAnsi="Times New Roman" w:cs="Times New Roman"/>
          <w:sz w:val="24"/>
          <w:szCs w:val="24"/>
        </w:rPr>
        <w:t xml:space="preserve"> за доношење по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дз</w:t>
      </w:r>
      <w:r w:rsidRPr="005E0FDC">
        <w:rPr>
          <w:rFonts w:ascii="Times New Roman" w:hAnsi="Times New Roman" w:cs="Times New Roman"/>
          <w:sz w:val="24"/>
          <w:szCs w:val="24"/>
        </w:rPr>
        <w:t>аконских аката потребних за увођење нових инструмената политике заштите од индустријског загађења</w:t>
      </w:r>
      <w:r w:rsidR="00BE36E7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;</w:t>
      </w:r>
    </w:p>
    <w:p w14:paraId="5E22E8D4" w14:textId="77777777" w:rsidR="00B62A5B" w:rsidRPr="0010399D" w:rsidRDefault="002C3F76" w:rsidP="005E0FD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399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7FD9BFB" w:rsidRPr="0010399D">
        <w:rPr>
          <w:rFonts w:ascii="Times New Roman" w:hAnsi="Times New Roman" w:cs="Times New Roman"/>
          <w:sz w:val="24"/>
          <w:szCs w:val="24"/>
          <w:lang w:val="sr-Cyrl-RS"/>
        </w:rPr>
        <w:t>огућност</w:t>
      </w:r>
      <w:r w:rsidR="00F528E0" w:rsidRPr="0010399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7FD9BFB" w:rsidRPr="0010399D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издавања дозвол</w:t>
      </w:r>
      <w:r w:rsidR="00F528E0" w:rsidRPr="0010399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7FD9BFB" w:rsidRPr="0010399D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поједностављеном поступку применом општих обавезујућих правила</w:t>
      </w:r>
      <w:r w:rsidR="00096500" w:rsidRPr="0010399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F528E0" w:rsidRPr="001039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444662A" w14:textId="77777777" w:rsidR="00B62A5B" w:rsidRPr="005E0FDC" w:rsidRDefault="00096500" w:rsidP="005E0FD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399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7FD9BFB" w:rsidRPr="0010399D">
        <w:rPr>
          <w:rFonts w:ascii="Times New Roman" w:hAnsi="Times New Roman" w:cs="Times New Roman"/>
          <w:sz w:val="24"/>
          <w:szCs w:val="24"/>
          <w:lang w:val="sr-Cyrl-RS"/>
        </w:rPr>
        <w:t>нтегрисан</w:t>
      </w:r>
      <w:r w:rsidR="002C3F76" w:rsidRPr="0010399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7FD9BFB" w:rsidRPr="0010399D">
        <w:rPr>
          <w:rFonts w:ascii="Times New Roman" w:hAnsi="Times New Roman" w:cs="Times New Roman"/>
          <w:sz w:val="24"/>
          <w:szCs w:val="24"/>
          <w:lang w:val="sr-Cyrl-RS"/>
        </w:rPr>
        <w:t xml:space="preserve"> приступ</w:t>
      </w:r>
      <w:r w:rsidR="07FD9BFB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7FD9BFB" w:rsidRPr="005E0FDC">
        <w:rPr>
          <w:rFonts w:ascii="Times New Roman" w:hAnsi="Times New Roman" w:cs="Times New Roman"/>
          <w:sz w:val="24"/>
          <w:szCs w:val="24"/>
        </w:rPr>
        <w:t>уз</w:t>
      </w:r>
      <w:r w:rsidR="00F528E0" w:rsidRPr="005E0FDC">
        <w:rPr>
          <w:rFonts w:ascii="Times New Roman" w:hAnsi="Times New Roman" w:cs="Times New Roman"/>
          <w:sz w:val="24"/>
          <w:szCs w:val="24"/>
          <w:lang w:val="sr-Cyrl-RS"/>
        </w:rPr>
        <w:t>имајући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у обзир целокупни еколошки утицај постројења, </w:t>
      </w:r>
      <w:r w:rsidR="00F528E0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ради </w:t>
      </w:r>
      <w:r w:rsidR="07FD9BFB" w:rsidRPr="005E0FDC">
        <w:rPr>
          <w:rFonts w:ascii="Times New Roman" w:hAnsi="Times New Roman" w:cs="Times New Roman"/>
          <w:sz w:val="24"/>
          <w:szCs w:val="24"/>
        </w:rPr>
        <w:t>обезбе</w:t>
      </w:r>
      <w:r w:rsidR="00F528E0" w:rsidRPr="005E0FDC">
        <w:rPr>
          <w:rFonts w:ascii="Times New Roman" w:hAnsi="Times New Roman" w:cs="Times New Roman"/>
          <w:sz w:val="24"/>
          <w:szCs w:val="24"/>
          <w:lang w:val="sr-Cyrl-RS"/>
        </w:rPr>
        <w:t>ђења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висо</w:t>
      </w:r>
      <w:r w:rsidR="00F528E0" w:rsidRPr="005E0FDC">
        <w:rPr>
          <w:rFonts w:ascii="Times New Roman" w:hAnsi="Times New Roman" w:cs="Times New Roman"/>
          <w:sz w:val="24"/>
          <w:szCs w:val="24"/>
          <w:lang w:val="sr-Cyrl-RS"/>
        </w:rPr>
        <w:t>ког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ниво</w:t>
      </w:r>
      <w:r w:rsidR="00F528E0" w:rsidRPr="005E0F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заштите животне средине у целини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1CC70946" w14:textId="77777777" w:rsidR="00B62A5B" w:rsidRPr="005E0FDC" w:rsidRDefault="00F528E0" w:rsidP="005E0FD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399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9D5D22" w:rsidRPr="0010399D">
        <w:rPr>
          <w:rFonts w:ascii="Times New Roman" w:hAnsi="Times New Roman" w:cs="Times New Roman"/>
          <w:sz w:val="24"/>
          <w:szCs w:val="24"/>
          <w:lang w:val="sr-Cyrl-RS"/>
        </w:rPr>
        <w:t>оординисан</w:t>
      </w:r>
      <w:r w:rsidRPr="0010399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D5D22" w:rsidRPr="0010399D">
        <w:rPr>
          <w:rFonts w:ascii="Times New Roman" w:hAnsi="Times New Roman" w:cs="Times New Roman"/>
          <w:sz w:val="24"/>
          <w:szCs w:val="24"/>
          <w:lang w:val="sr-Cyrl-RS"/>
        </w:rPr>
        <w:t xml:space="preserve"> прист</w:t>
      </w:r>
      <w:r w:rsidR="00A43E73" w:rsidRPr="0010399D">
        <w:rPr>
          <w:rFonts w:ascii="Times New Roman" w:hAnsi="Times New Roman" w:cs="Times New Roman"/>
          <w:sz w:val="24"/>
          <w:szCs w:val="24"/>
          <w:lang w:val="sr-Cyrl-RS"/>
        </w:rPr>
        <w:t>уп исходовања интегрисане дозволе</w:t>
      </w:r>
      <w:r w:rsidR="00745FCF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грађевинску/водну/ употребну дозволу</w:t>
      </w:r>
      <w:r w:rsidR="00096500" w:rsidRPr="005E0FD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79ADD0AB" w14:textId="1EFA48CB" w:rsidR="0047356F" w:rsidRDefault="00096500" w:rsidP="007615A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sr-Cyrl-RS" w:eastAsia="sr-Latn-RS"/>
        </w:rPr>
      </w:pPr>
      <w:r w:rsidRPr="007615A8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733324" w:rsidRPr="007615A8">
        <w:rPr>
          <w:rFonts w:ascii="Times New Roman" w:hAnsi="Times New Roman" w:cs="Times New Roman"/>
          <w:sz w:val="24"/>
          <w:szCs w:val="24"/>
          <w:lang w:val="sr-Cyrl-RS"/>
        </w:rPr>
        <w:t>ас</w:t>
      </w:r>
      <w:r w:rsidR="00A43E73" w:rsidRPr="007615A8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="00733324" w:rsidRPr="007615A8">
        <w:rPr>
          <w:rFonts w:ascii="Times New Roman" w:hAnsi="Times New Roman" w:cs="Times New Roman"/>
          <w:sz w:val="24"/>
          <w:szCs w:val="24"/>
          <w:lang w:val="sr-Cyrl-RS"/>
        </w:rPr>
        <w:t xml:space="preserve"> система одговорности, процедура и надлежних органа</w:t>
      </w:r>
      <w:r w:rsidR="00E463FE" w:rsidRPr="007615A8">
        <w:rPr>
          <w:rFonts w:ascii="Times New Roman" w:hAnsi="Times New Roman" w:cs="Times New Roman"/>
          <w:sz w:val="24"/>
          <w:szCs w:val="24"/>
        </w:rPr>
        <w:t xml:space="preserve"> </w:t>
      </w:r>
      <w:r w:rsidR="00745FCF" w:rsidRPr="007615A8">
        <w:rPr>
          <w:rFonts w:ascii="Times New Roman" w:hAnsi="Times New Roman" w:cs="Times New Roman"/>
          <w:sz w:val="24"/>
          <w:szCs w:val="24"/>
        </w:rPr>
        <w:t xml:space="preserve">укључених у процес издавања интегрисаних дозвола </w:t>
      </w:r>
      <w:r w:rsidR="00A43E73" w:rsidRPr="007615A8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45FCF" w:rsidRPr="007615A8">
        <w:rPr>
          <w:rFonts w:ascii="Times New Roman" w:hAnsi="Times New Roman" w:cs="Times New Roman"/>
          <w:sz w:val="24"/>
          <w:szCs w:val="24"/>
        </w:rPr>
        <w:t xml:space="preserve">усклађеност са другим националним прописима који регулишу хоризонтална питања као што су процедура процене утицаја на животну средину у складу </w:t>
      </w:r>
      <w:r w:rsidR="007615A8" w:rsidRPr="007615A8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10399D" w:rsidRPr="007615A8">
        <w:rPr>
          <w:rFonts w:ascii="Times New Roman" w:eastAsia="+mn-ea" w:hAnsi="Times New Roman" w:cs="Times New Roman"/>
          <w:color w:val="404040"/>
          <w:kern w:val="24"/>
          <w:sz w:val="24"/>
          <w:szCs w:val="24"/>
          <w:lang w:val="sr-Cyrl-RS"/>
        </w:rPr>
        <w:t>Директивом 2014/52/ЕУ о процени утицаја на животну средину</w:t>
      </w:r>
      <w:r w:rsidR="0010399D" w:rsidRPr="007615A8">
        <w:rPr>
          <w:rFonts w:ascii="Calibri" w:eastAsia="+mn-ea" w:hAnsi="Calibri" w:cs="Calibri"/>
          <w:color w:val="404040"/>
          <w:kern w:val="24"/>
          <w:sz w:val="32"/>
          <w:szCs w:val="32"/>
          <w:lang w:val="sr-Cyrl-RS"/>
        </w:rPr>
        <w:t xml:space="preserve"> </w:t>
      </w:r>
      <w:r w:rsidR="00745FCF" w:rsidRPr="007615A8">
        <w:rPr>
          <w:rFonts w:ascii="Times New Roman" w:hAnsi="Times New Roman" w:cs="Times New Roman"/>
          <w:sz w:val="24"/>
          <w:szCs w:val="24"/>
        </w:rPr>
        <w:t>одређених јавних и приватних пројеката на животну средину</w:t>
      </w:r>
      <w:r w:rsidR="007615A8" w:rsidRPr="007615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5FCF" w:rsidRPr="007615A8">
        <w:rPr>
          <w:rFonts w:ascii="Times New Roman" w:hAnsi="Times New Roman" w:cs="Times New Roman"/>
          <w:sz w:val="24"/>
          <w:szCs w:val="24"/>
        </w:rPr>
        <w:t xml:space="preserve"> </w:t>
      </w:r>
      <w:r w:rsidR="007615A8" w:rsidRPr="005E0FDC">
        <w:rPr>
          <w:rFonts w:ascii="Times New Roman" w:hAnsi="Times New Roman" w:cs="Times New Roman"/>
          <w:sz w:val="24"/>
          <w:szCs w:val="24"/>
        </w:rPr>
        <w:t xml:space="preserve">процедура одговарајуће процене </w:t>
      </w:r>
      <w:r w:rsidR="0010399D" w:rsidRPr="0047356F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sr-Cyrl-RS" w:eastAsia="sr-Latn-RS"/>
        </w:rPr>
        <w:t xml:space="preserve">(енгл. </w:t>
      </w:r>
      <w:r w:rsidR="0010399D" w:rsidRPr="0047356F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 w:eastAsia="sr-Latn-RS"/>
        </w:rPr>
        <w:t>Appropriate</w:t>
      </w:r>
      <w:r w:rsidR="0010399D" w:rsidRPr="0047356F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sr-Cyrl-RS" w:eastAsia="sr-Latn-RS"/>
        </w:rPr>
        <w:t xml:space="preserve"> </w:t>
      </w:r>
      <w:r w:rsidR="0010399D" w:rsidRPr="0047356F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 w:eastAsia="sr-Latn-RS"/>
        </w:rPr>
        <w:t>assessment</w:t>
      </w:r>
      <w:r w:rsidR="0010399D" w:rsidRPr="0047356F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sr-Cyrl-RS" w:eastAsia="sr-Latn-RS"/>
        </w:rPr>
        <w:t>)</w:t>
      </w:r>
      <w:r w:rsidR="0047356F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sr-Cyrl-RS" w:eastAsia="sr-Latn-RS"/>
        </w:rPr>
        <w:t>,</w:t>
      </w:r>
      <w:r w:rsidR="0010399D" w:rsidRPr="0047356F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sr-Cyrl-RS" w:eastAsia="sr-Latn-RS"/>
        </w:rPr>
        <w:t xml:space="preserve"> </w:t>
      </w:r>
      <w:r w:rsidR="0047356F" w:rsidRPr="0047356F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sr-Cyrl-RS" w:eastAsia="sr-Latn-RS"/>
        </w:rPr>
        <w:t>Директиве 92/43/ЕЕЗ о очувању природних станишта и дивљих животињских и биљних врста</w:t>
      </w:r>
      <w:r w:rsidR="0047356F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sr-Cyrl-RS" w:eastAsia="sr-Latn-RS"/>
        </w:rPr>
        <w:t>).</w:t>
      </w:r>
    </w:p>
    <w:p w14:paraId="653A2562" w14:textId="77777777" w:rsidR="0047356F" w:rsidRDefault="0047356F" w:rsidP="007615A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sr-Cyrl-RS" w:eastAsia="sr-Latn-RS"/>
        </w:rPr>
      </w:pPr>
    </w:p>
    <w:p w14:paraId="7F4CFACA" w14:textId="4E7EAADE" w:rsidR="00A17D11" w:rsidRPr="005E0FDC" w:rsidRDefault="00F528E0" w:rsidP="005E0FD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399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7FD9BFB" w:rsidRPr="0010399D">
        <w:rPr>
          <w:rFonts w:ascii="Times New Roman" w:hAnsi="Times New Roman" w:cs="Times New Roman"/>
          <w:sz w:val="24"/>
          <w:szCs w:val="24"/>
          <w:lang w:val="sr-Cyrl-RS"/>
        </w:rPr>
        <w:t>инергиј</w:t>
      </w:r>
      <w:r w:rsidR="009256C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7FD9BFB" w:rsidRPr="0010399D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различитих административних процедура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које захтевају координисано издавање дозвола/овлашћења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посебно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7FD9BFB" w:rsidRPr="005E0FDC">
        <w:rPr>
          <w:rFonts w:ascii="Times New Roman" w:hAnsi="Times New Roman" w:cs="Times New Roman"/>
          <w:sz w:val="24"/>
          <w:szCs w:val="24"/>
        </w:rPr>
        <w:t>однос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на водне дозволе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7FD9BFB" w:rsidRPr="005E0FDC">
        <w:rPr>
          <w:rFonts w:ascii="Times New Roman" w:hAnsi="Times New Roman" w:cs="Times New Roman"/>
          <w:sz w:val="24"/>
          <w:szCs w:val="24"/>
        </w:rPr>
        <w:t>грађевинске и употребне дозволе, као и процедурама успостављеним за спречавање великих хемијских удеса које укључују опасне материје</w:t>
      </w:r>
      <w:r w:rsidR="00096500" w:rsidRPr="005E0FD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43E73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9A72F01" w14:textId="77777777" w:rsidR="004D79A2" w:rsidRPr="005E0FDC" w:rsidRDefault="00A43E73" w:rsidP="005E0FD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177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7FD9BFB" w:rsidRPr="002C177E">
        <w:rPr>
          <w:rFonts w:ascii="Times New Roman" w:hAnsi="Times New Roman" w:cs="Times New Roman"/>
          <w:sz w:val="24"/>
          <w:szCs w:val="24"/>
          <w:lang w:val="sr-Cyrl-RS"/>
        </w:rPr>
        <w:t>овезаност и разгран</w:t>
      </w:r>
      <w:r w:rsidR="00096500" w:rsidRPr="002C177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7FD9BFB" w:rsidRPr="002C177E">
        <w:rPr>
          <w:rFonts w:ascii="Times New Roman" w:hAnsi="Times New Roman" w:cs="Times New Roman"/>
          <w:sz w:val="24"/>
          <w:szCs w:val="24"/>
          <w:lang w:val="sr-Cyrl-RS"/>
        </w:rPr>
        <w:t>чења одредаба закона са одредбама других секторских прописа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којима се у национално законодавство преносе одредбе Поглавља III (велика ложишта), Поглавља IV (постројења за инсинерацију и ко-инсинерацију отпада), Поглавља V (постројења која користе органске раствараче), и Поглавља VI (постројења за производњу ТiО</w:t>
      </w:r>
      <w:r w:rsidR="07FD9BFB" w:rsidRPr="005E0F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7FD9BFB" w:rsidRPr="005E0FDC">
        <w:rPr>
          <w:rFonts w:ascii="Times New Roman" w:hAnsi="Times New Roman" w:cs="Times New Roman"/>
          <w:sz w:val="24"/>
          <w:szCs w:val="24"/>
        </w:rPr>
        <w:t>)</w:t>
      </w:r>
      <w:r w:rsidR="00766983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</w:t>
      </w:r>
      <w:r w:rsidR="00766983" w:rsidRPr="005E0FD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7FD9BFB" w:rsidRPr="005E0FDC">
        <w:rPr>
          <w:rFonts w:ascii="Times New Roman" w:hAnsi="Times New Roman" w:cs="Times New Roman"/>
          <w:sz w:val="24"/>
          <w:szCs w:val="24"/>
        </w:rPr>
        <w:t>аједничке одредбе (члан 1-9 IED</w:t>
      </w:r>
      <w:r w:rsidR="07FD9BFB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Директиве) </w:t>
      </w:r>
      <w:r w:rsidR="00766983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које се </w:t>
      </w:r>
      <w:r w:rsidR="07FD9BFB" w:rsidRPr="005E0FDC">
        <w:rPr>
          <w:rFonts w:ascii="Times New Roman" w:hAnsi="Times New Roman" w:cs="Times New Roman"/>
          <w:sz w:val="24"/>
          <w:szCs w:val="24"/>
        </w:rPr>
        <w:t>односе се на Поглавља II-IV IED Директиве</w:t>
      </w:r>
      <w:r w:rsidR="00096500" w:rsidRPr="005E0FD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EECED43" w14:textId="2D8793C5" w:rsidR="004D79A2" w:rsidRPr="005E0FDC" w:rsidRDefault="00096500" w:rsidP="005E0FD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177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Е</w:t>
      </w:r>
      <w:r w:rsidR="009D5D22" w:rsidRPr="002C177E">
        <w:rPr>
          <w:rFonts w:ascii="Times New Roman" w:hAnsi="Times New Roman" w:cs="Times New Roman"/>
          <w:sz w:val="24"/>
          <w:szCs w:val="24"/>
          <w:lang w:val="sr-Cyrl-RS"/>
        </w:rPr>
        <w:t>фикасниј</w:t>
      </w:r>
      <w:r w:rsidR="009256C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D5D22" w:rsidRPr="002C177E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0D6CC9" w:rsidRPr="002C177E">
        <w:rPr>
          <w:rFonts w:ascii="Times New Roman" w:hAnsi="Times New Roman" w:cs="Times New Roman"/>
          <w:sz w:val="24"/>
          <w:szCs w:val="24"/>
          <w:lang w:val="sr-Cyrl-RS"/>
        </w:rPr>
        <w:t>оступ</w:t>
      </w:r>
      <w:r w:rsidR="009256CC"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="000D6CC9" w:rsidRPr="002C177E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издавања</w:t>
      </w:r>
      <w:r w:rsidR="009D5D22" w:rsidRPr="002C177E">
        <w:rPr>
          <w:rFonts w:ascii="Times New Roman" w:hAnsi="Times New Roman" w:cs="Times New Roman"/>
          <w:sz w:val="24"/>
          <w:szCs w:val="24"/>
          <w:lang w:val="sr-Cyrl-RS"/>
        </w:rPr>
        <w:t xml:space="preserve">/ревизије </w:t>
      </w:r>
      <w:r w:rsidR="000D6CC9" w:rsidRPr="002C177E">
        <w:rPr>
          <w:rFonts w:ascii="Times New Roman" w:hAnsi="Times New Roman" w:cs="Times New Roman"/>
          <w:sz w:val="24"/>
          <w:szCs w:val="24"/>
          <w:lang w:val="sr-Cyrl-RS"/>
        </w:rPr>
        <w:t>интегрисане дозволе</w:t>
      </w:r>
      <w:r w:rsidR="00772C7F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увођењем информационог система који би се користио као алат за</w:t>
      </w:r>
      <w:r w:rsidR="00D67F1F" w:rsidRPr="005E0FD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72C7F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вођење поступака</w:t>
      </w:r>
      <w:r w:rsidR="00730742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C7F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издавање интегрисаних дозвола, база података за инспекцијску контролу, ажурирање </w:t>
      </w:r>
      <w:r w:rsidR="007B07B3" w:rsidRPr="005E0FDC">
        <w:rPr>
          <w:rFonts w:ascii="Times New Roman" w:hAnsi="Times New Roman" w:cs="Times New Roman"/>
          <w:sz w:val="24"/>
          <w:szCs w:val="24"/>
          <w:lang w:val="sr-Cyrl-RS"/>
        </w:rPr>
        <w:t>Националног р</w:t>
      </w:r>
      <w:r w:rsidR="00772C7F" w:rsidRPr="005E0FDC">
        <w:rPr>
          <w:rFonts w:ascii="Times New Roman" w:hAnsi="Times New Roman" w:cs="Times New Roman"/>
          <w:sz w:val="24"/>
          <w:szCs w:val="24"/>
          <w:lang w:val="sr-Cyrl-RS"/>
        </w:rPr>
        <w:t>егистра издатих дозвола</w:t>
      </w:r>
      <w:r w:rsidR="008A7254" w:rsidRPr="005E0F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2C7F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а све то </w:t>
      </w:r>
      <w:r w:rsidR="00772C7F" w:rsidRPr="005E0FDC">
        <w:rPr>
          <w:rFonts w:ascii="Times New Roman" w:hAnsi="Times New Roman" w:cs="Times New Roman"/>
          <w:sz w:val="24"/>
          <w:szCs w:val="24"/>
        </w:rPr>
        <w:t>ради унапређења ефикасности поступка издавања дозволе</w:t>
      </w:r>
      <w:r w:rsidR="00CC2DD5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C7F" w:rsidRPr="005E0FDC">
        <w:rPr>
          <w:rFonts w:ascii="Times New Roman" w:hAnsi="Times New Roman" w:cs="Times New Roman"/>
          <w:sz w:val="24"/>
          <w:szCs w:val="24"/>
        </w:rPr>
        <w:t>приступ</w:t>
      </w:r>
      <w:r w:rsidR="00CC2DD5" w:rsidRPr="005E0F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72C7F" w:rsidRPr="005E0FDC">
        <w:rPr>
          <w:rFonts w:ascii="Times New Roman" w:hAnsi="Times New Roman" w:cs="Times New Roman"/>
          <w:sz w:val="24"/>
          <w:szCs w:val="24"/>
        </w:rPr>
        <w:t xml:space="preserve"> информацијама о IPPC постројењима</w:t>
      </w:r>
      <w:r w:rsidR="00CC2DD5" w:rsidRPr="005E0F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2EF5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5D22" w:rsidRPr="005E0FDC">
        <w:rPr>
          <w:rFonts w:ascii="Times New Roman" w:hAnsi="Times New Roman" w:cs="Times New Roman"/>
          <w:sz w:val="24"/>
          <w:szCs w:val="24"/>
          <w:lang w:val="sr-Cyrl-RS"/>
        </w:rPr>
        <w:t>брж</w:t>
      </w:r>
      <w:r w:rsidR="001A42DC" w:rsidRPr="005E0FD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D5D22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размен</w:t>
      </w:r>
      <w:r w:rsidR="001A42DC" w:rsidRPr="005E0FD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D5D22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информација између оператера, надлежног органа, заинтересованих органа, инспекције, заинтересоване јавности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20F2F330" w14:textId="1CE041B5" w:rsidR="00C65BF9" w:rsidRPr="005E0FDC" w:rsidRDefault="009256CC" w:rsidP="005E0FD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Унапређену</w:t>
      </w:r>
      <w:r w:rsidR="07FD9BFB" w:rsidRPr="002C177E">
        <w:rPr>
          <w:rFonts w:ascii="Times New Roman" w:hAnsi="Times New Roman" w:cs="Times New Roman"/>
          <w:sz w:val="24"/>
          <w:szCs w:val="24"/>
          <w:lang w:val="sr-Cyrl-RS"/>
        </w:rPr>
        <w:t xml:space="preserve"> међусекторск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7FD9BFB" w:rsidRPr="002C177E">
        <w:rPr>
          <w:rFonts w:ascii="Times New Roman" w:hAnsi="Times New Roman" w:cs="Times New Roman"/>
          <w:sz w:val="24"/>
          <w:szCs w:val="24"/>
          <w:lang w:val="sr-Cyrl-RS"/>
        </w:rPr>
        <w:t xml:space="preserve"> сарадњ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43E73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кроз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проток информација између надлежних органа који раде на изради интегрисане дозволе и надлежног инспекцијског органа, ради боље контроле и примене услова утврђених у дозволи</w:t>
      </w:r>
      <w:r w:rsidR="00A43E73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792" w:rsidRPr="005E0FDC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предвиђено </w:t>
      </w:r>
      <w:r w:rsidR="00C65BF9" w:rsidRPr="005E0FDC">
        <w:rPr>
          <w:rFonts w:ascii="Times New Roman" w:hAnsi="Times New Roman" w:cs="Times New Roman"/>
          <w:sz w:val="24"/>
          <w:szCs w:val="24"/>
          <w:lang w:val="sr-Cyrl-RS"/>
        </w:rPr>
        <w:t>такође кроз увођење информационог система</w:t>
      </w:r>
      <w:r w:rsidR="00096500" w:rsidRPr="005E0FD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C3C7D" w14:textId="36B8599E" w:rsidR="00C65BF9" w:rsidRPr="005E0FDC" w:rsidRDefault="07FD9BFB" w:rsidP="005E0FD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177E">
        <w:rPr>
          <w:rFonts w:ascii="Times New Roman" w:hAnsi="Times New Roman" w:cs="Times New Roman"/>
          <w:sz w:val="24"/>
          <w:szCs w:val="24"/>
          <w:lang w:val="sr-Cyrl-RS"/>
        </w:rPr>
        <w:t>Обезбеђивањ</w:t>
      </w:r>
      <w:r w:rsidR="00A43E73" w:rsidRPr="002C177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C177E">
        <w:rPr>
          <w:rFonts w:ascii="Times New Roman" w:hAnsi="Times New Roman" w:cs="Times New Roman"/>
          <w:sz w:val="24"/>
          <w:szCs w:val="24"/>
          <w:lang w:val="sr-Cyrl-RS"/>
        </w:rPr>
        <w:t xml:space="preserve"> да услови у интегрисаној дозволи</w:t>
      </w:r>
      <w:r w:rsidR="00E10812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0FDC">
        <w:rPr>
          <w:rFonts w:ascii="Times New Roman" w:hAnsi="Times New Roman" w:cs="Times New Roman"/>
          <w:sz w:val="24"/>
          <w:szCs w:val="24"/>
        </w:rPr>
        <w:t xml:space="preserve">укључујући граничне вредности емисије, буду </w:t>
      </w:r>
      <w:r w:rsidR="00C65BF9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првенствено </w:t>
      </w:r>
      <w:r w:rsidRPr="005E0FDC">
        <w:rPr>
          <w:rFonts w:ascii="Times New Roman" w:hAnsi="Times New Roman" w:cs="Times New Roman"/>
          <w:sz w:val="24"/>
          <w:szCs w:val="24"/>
        </w:rPr>
        <w:t>засновани на најбољим доступним техникама (</w:t>
      </w:r>
      <w:r w:rsidR="00AD52FB" w:rsidRPr="005E0FDC">
        <w:rPr>
          <w:rFonts w:ascii="Times New Roman" w:hAnsi="Times New Roman" w:cs="Times New Roman"/>
          <w:sz w:val="24"/>
          <w:szCs w:val="24"/>
        </w:rPr>
        <w:t>BAT</w:t>
      </w:r>
      <w:r w:rsidRPr="005E0FDC">
        <w:rPr>
          <w:rFonts w:ascii="Times New Roman" w:hAnsi="Times New Roman" w:cs="Times New Roman"/>
          <w:sz w:val="24"/>
          <w:szCs w:val="24"/>
        </w:rPr>
        <w:t>)</w:t>
      </w:r>
      <w:r w:rsidR="00096500" w:rsidRPr="005E0FD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E0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9175F" w14:textId="6245771F" w:rsidR="00C65BF9" w:rsidRPr="002C177E" w:rsidRDefault="009243E8" w:rsidP="005E0FD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177E">
        <w:rPr>
          <w:rFonts w:ascii="Times New Roman" w:hAnsi="Times New Roman" w:cs="Times New Roman"/>
          <w:sz w:val="24"/>
          <w:szCs w:val="24"/>
          <w:lang w:val="sr-Cyrl-RS"/>
        </w:rPr>
        <w:t xml:space="preserve">Побољшање приступа информацијама, </w:t>
      </w:r>
      <w:r w:rsidR="00A43E73" w:rsidRPr="002C177E">
        <w:rPr>
          <w:rFonts w:ascii="Times New Roman" w:hAnsi="Times New Roman" w:cs="Times New Roman"/>
          <w:sz w:val="24"/>
          <w:szCs w:val="24"/>
          <w:lang w:val="sr-Cyrl-RS"/>
        </w:rPr>
        <w:t xml:space="preserve">кроз </w:t>
      </w:r>
      <w:r w:rsidRPr="002C177E">
        <w:rPr>
          <w:rFonts w:ascii="Times New Roman" w:hAnsi="Times New Roman" w:cs="Times New Roman"/>
          <w:sz w:val="24"/>
          <w:szCs w:val="24"/>
          <w:lang w:val="sr-Cyrl-RS"/>
        </w:rPr>
        <w:t>учешћ</w:t>
      </w:r>
      <w:r w:rsidR="00A43E73" w:rsidRPr="002C177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C177E">
        <w:rPr>
          <w:rFonts w:ascii="Times New Roman" w:hAnsi="Times New Roman" w:cs="Times New Roman"/>
          <w:sz w:val="24"/>
          <w:szCs w:val="24"/>
          <w:lang w:val="sr-Cyrl-RS"/>
        </w:rPr>
        <w:t xml:space="preserve"> јавности и приступ правосуђу</w:t>
      </w:r>
      <w:r w:rsidR="00096500" w:rsidRPr="002C177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A43E73" w:rsidRPr="002C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68491D2" w14:textId="021E093C" w:rsidR="00F91D8E" w:rsidRPr="005E0FDC" w:rsidRDefault="00343233" w:rsidP="005E0FD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Унапређење</w:t>
      </w:r>
      <w:r w:rsidR="002C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467" w:rsidRPr="002C177E">
        <w:rPr>
          <w:rFonts w:ascii="Times New Roman" w:hAnsi="Times New Roman" w:cs="Times New Roman"/>
          <w:sz w:val="24"/>
          <w:szCs w:val="24"/>
          <w:lang w:val="sr-Cyrl-RS"/>
        </w:rPr>
        <w:t>повезаност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42467" w:rsidRPr="002C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467" w:rsidRPr="005E0FDC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регист</w:t>
      </w:r>
      <w:r w:rsidR="00642467" w:rsidRPr="005E0FDC">
        <w:rPr>
          <w:rFonts w:ascii="Times New Roman" w:hAnsi="Times New Roman" w:cs="Times New Roman"/>
          <w:sz w:val="24"/>
          <w:szCs w:val="24"/>
          <w:lang w:val="sr-Cyrl-RS"/>
        </w:rPr>
        <w:t>рима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докумената неопходних за прибављање IPPC дозвола (</w:t>
      </w:r>
      <w:r w:rsidR="007D4AB3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докумената из области процене утицаја, </w:t>
      </w:r>
      <w:r w:rsidR="003F62EC"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заштите од великих хемијских удеса, </w:t>
      </w:r>
      <w:r w:rsidR="07FD9BFB" w:rsidRPr="005E0FDC">
        <w:rPr>
          <w:rFonts w:ascii="Times New Roman" w:hAnsi="Times New Roman" w:cs="Times New Roman"/>
          <w:sz w:val="24"/>
          <w:szCs w:val="24"/>
        </w:rPr>
        <w:t>дозвола за управљање отпадом, водних дозвола</w:t>
      </w:r>
      <w:r w:rsidR="00F91D8E" w:rsidRPr="005E0FDC">
        <w:rPr>
          <w:rFonts w:ascii="Times New Roman" w:hAnsi="Times New Roman" w:cs="Times New Roman"/>
          <w:sz w:val="24"/>
          <w:szCs w:val="24"/>
          <w:lang w:val="sr-Cyrl-RS"/>
        </w:rPr>
        <w:t>, АПР</w:t>
      </w:r>
      <w:r w:rsidR="00B874E4" w:rsidRPr="005E0FDC">
        <w:rPr>
          <w:rFonts w:ascii="Times New Roman" w:hAnsi="Times New Roman" w:cs="Times New Roman"/>
          <w:sz w:val="24"/>
          <w:szCs w:val="24"/>
        </w:rPr>
        <w:t>-</w:t>
      </w:r>
      <w:r w:rsidR="00F91D8E" w:rsidRPr="005E0FDC">
        <w:rPr>
          <w:rFonts w:ascii="Times New Roman" w:hAnsi="Times New Roman" w:cs="Times New Roman"/>
          <w:sz w:val="24"/>
          <w:szCs w:val="24"/>
          <w:lang w:val="sr-Cyrl-RS"/>
        </w:rPr>
        <w:t>ом,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и сл.)</w:t>
      </w:r>
      <w:r w:rsidR="0047073C" w:rsidRPr="005E0FD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7FD9BFB" w:rsidRPr="005E0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98F41" w14:textId="1A47FC03" w:rsidR="009256CC" w:rsidRPr="009256CC" w:rsidRDefault="009256CC" w:rsidP="005E0FD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Размену 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 и података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за вођење поступака за оператере који су предмет размен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информација о прекограничном утицају, а који се спроводи преко процедура прекограничних консултација (обједињеним путем Е</w:t>
      </w:r>
      <w:r w:rsidRPr="005E0FDC">
        <w:rPr>
          <w:rFonts w:ascii="Times New Roman" w:hAnsi="Times New Roman" w:cs="Times New Roman"/>
          <w:sz w:val="24"/>
          <w:szCs w:val="24"/>
        </w:rPr>
        <w:t>SPOO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процедура).</w:t>
      </w:r>
    </w:p>
    <w:p w14:paraId="75E4E7F5" w14:textId="5555002A" w:rsidR="00DC79D2" w:rsidRPr="009256CC" w:rsidRDefault="00DB6384" w:rsidP="005E0FD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6CC">
        <w:rPr>
          <w:rFonts w:ascii="Times New Roman" w:hAnsi="Times New Roman" w:cs="Times New Roman"/>
          <w:sz w:val="24"/>
          <w:szCs w:val="24"/>
          <w:lang w:val="sr-Cyrl-RS"/>
        </w:rPr>
        <w:t>Јачање инспекцијског надзора и казнене политике</w:t>
      </w:r>
      <w:r w:rsidR="0047073C" w:rsidRPr="009256C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25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EDE36DB" w14:textId="0A63A32F" w:rsidR="00096500" w:rsidRPr="005E0FDC" w:rsidRDefault="07FD9BFB" w:rsidP="005E0FDC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9256C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Усклађивање рокова и садржине извештавања са стандардима Европске уније</w:t>
      </w:r>
      <w:r w:rsidR="0034323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чиме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би се учврститила улога јавног извештавања као поузданог и објективног извора информација о тематици заштите животне средине и умањио ризик од забуне и погрешног тумачења научно основаних статистичких података.</w:t>
      </w:r>
    </w:p>
    <w:p w14:paraId="435931D8" w14:textId="77777777" w:rsidR="007764AB" w:rsidRPr="005E0FDC" w:rsidRDefault="00C23E57" w:rsidP="005E0FDC">
      <w:pPr>
        <w:pStyle w:val="ListParagraph"/>
        <w:numPr>
          <w:ilvl w:val="0"/>
          <w:numId w:val="14"/>
        </w:numPr>
        <w:tabs>
          <w:tab w:val="left" w:pos="284"/>
        </w:tabs>
        <w:spacing w:before="100" w:beforeAutospacing="1" w:after="30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bookmarkStart w:id="7" w:name="_Toc173303978"/>
      <w:r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O</w:t>
      </w:r>
      <w:r w:rsidRPr="005E0FD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сновна начела за уређивање друштвених односа у тој области, укључујући права и обавезе субјеката на које се закон односи</w:t>
      </w:r>
      <w:bookmarkEnd w:id="7"/>
    </w:p>
    <w:p w14:paraId="33D66F8C" w14:textId="618F54B6" w:rsidR="00B9053A" w:rsidRPr="005E0FDC" w:rsidRDefault="07FD9BFB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На интегрисано спречавање и контролу загађивања примењују се следећа основна начела заштите животне средине уређена посебним законимa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важећим IPPC законом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начело </w:t>
      </w:r>
      <w:r w:rsidR="004C1157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превенције и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предострожности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B9053A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начело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одрживог развоја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B9053A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начело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хијерархије управљања отпадом</w:t>
      </w:r>
      <w:r w:rsidR="00B9053A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начело 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„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загађивач плаћа</w:t>
      </w:r>
      <w:r w:rsidR="00C5152F" w:rsidRPr="005E0FDC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B9053A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начело</w:t>
      </w:r>
      <w:r w:rsidR="00B9053A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информисања и учешћа јавности</w:t>
      </w:r>
      <w:r w:rsidR="001D3312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(</w:t>
      </w:r>
      <w:r w:rsidR="001D3312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обезбеђе</w:t>
      </w:r>
      <w:r w:rsidR="00F4581A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њем</w:t>
      </w:r>
      <w:r w:rsidR="001D3312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пуне отворености </w:t>
      </w:r>
      <w:r w:rsidR="00BE29B3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</w:t>
      </w:r>
      <w:r w:rsidR="001D3312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поступк</w:t>
      </w:r>
      <w:r w:rsidR="00BE29B3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1D3312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издавања дозвола</w:t>
      </w:r>
      <w:r w:rsidR="00F63CAD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1D3312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као и на релевантне податке добијене мониторингом</w:t>
      </w:r>
      <w:r w:rsidR="00BE29B3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)</w:t>
      </w:r>
      <w:r w:rsidR="00C5152F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7521AD0A" w14:textId="77777777" w:rsidR="00C5152F" w:rsidRPr="005E0FDC" w:rsidRDefault="00EE46F0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Осим тога и кључна </w:t>
      </w:r>
      <w:r w:rsidR="006055DB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начел</w:t>
      </w:r>
      <w:r w:rsidR="00020DEE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6055DB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области интегрисаног спречавања и контроле загађивања животне средине</w:t>
      </w:r>
      <w:r w:rsidR="00020DEE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и то</w:t>
      </w:r>
      <w:r w:rsidR="006055DB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</w:t>
      </w:r>
    </w:p>
    <w:p w14:paraId="7B21D62E" w14:textId="77777777" w:rsidR="00C5152F" w:rsidRPr="005E0FDC" w:rsidRDefault="00C5152F" w:rsidP="005E0FD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br w:type="page"/>
      </w:r>
    </w:p>
    <w:p w14:paraId="04F10E6B" w14:textId="27F84954" w:rsidR="007764AB" w:rsidRPr="005E0FDC" w:rsidRDefault="006055DB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lastRenderedPageBreak/>
        <w:t xml:space="preserve">Начело интегрисаности и </w:t>
      </w:r>
      <w:r w:rsidRPr="005E0FD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 w:eastAsia="sr-Latn-RS"/>
        </w:rPr>
        <w:t>координације</w:t>
      </w:r>
    </w:p>
    <w:p w14:paraId="0231FBD6" w14:textId="3739B33C" w:rsidR="0045249F" w:rsidRPr="005E0FDC" w:rsidRDefault="00EE46F0" w:rsidP="005E0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Интегрисаност подразумева и</w:t>
      </w:r>
      <w:r w:rsidR="0045249F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нтегрисани приступ издавања дозвола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као </w:t>
      </w:r>
      <w:r w:rsidR="0045249F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усклађен поступак издавања дозволе у ком учествује више од једног надлежног органа који предузимају мере за ефикасан и интегрисан приступ овом поступку. </w:t>
      </w:r>
    </w:p>
    <w:p w14:paraId="5296FA10" w14:textId="29F7BF71" w:rsidR="0045249F" w:rsidRPr="005E0FDC" w:rsidRDefault="0045249F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Потпуна узајамна координација надлежних органа у поступку издавања дозвола и одређивању услова у дозволи за свако постројење или путем општих обавезујућих правила за специфичне секторе, чиме се омогућава постизање највишег практично могућег нивоа заштите животне средине као целине.</w:t>
      </w:r>
    </w:p>
    <w:p w14:paraId="5D9C9409" w14:textId="77777777" w:rsidR="007F30F8" w:rsidRPr="005E0FDC" w:rsidRDefault="007F30F8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50C6A8CE" w14:textId="77777777" w:rsidR="0045249F" w:rsidRPr="005E0FDC" w:rsidRDefault="0045249F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Поред ових начела, интегрисан приступ издавању и контроли интегрисане дозволе прате и следећа начела:</w:t>
      </w:r>
    </w:p>
    <w:p w14:paraId="6831BDCC" w14:textId="77777777" w:rsidR="0045249F" w:rsidRPr="005E0FDC" w:rsidRDefault="0045249F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>Начело примене најбољих доступних техника</w:t>
      </w:r>
    </w:p>
    <w:p w14:paraId="574B341E" w14:textId="58906E3C" w:rsidR="0045249F" w:rsidRPr="005E0FDC" w:rsidRDefault="07FD9BFB" w:rsidP="005E0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Услови дозволе, укључују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ћ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 граничне вредности емисије (ГВ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) морају бити засновани на најбољим доступним техникама (</w:t>
      </w:r>
      <w:r w:rsidR="00AD52FB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BAT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).</w:t>
      </w:r>
    </w:p>
    <w:p w14:paraId="7B1B4A25" w14:textId="77777777" w:rsidR="0045249F" w:rsidRPr="005E0FDC" w:rsidRDefault="0045249F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>Начело флексибилности</w:t>
      </w:r>
    </w:p>
    <w:p w14:paraId="60F8792E" w14:textId="6E3E6501" w:rsidR="0045249F" w:rsidRPr="005E0FDC" w:rsidRDefault="0045249F" w:rsidP="005E0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Приступ издавању дозвола може да садржи и елементе флексибилности у изузетним случајевима, омогу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ћ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авају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ћ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и надлежном органу да приликом утврђивања услова у дозволи постави мање строже граничне вредности од оних садржаних у </w:t>
      </w:r>
      <w:r w:rsidR="00AD52FB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BAT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-у, уз документоване разлоге за примену мера флексибилности који укључују анализу трошкова и користи, а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узимајући у обзир:</w:t>
      </w:r>
    </w:p>
    <w:p w14:paraId="374DD0C6" w14:textId="22092191" w:rsidR="0045249F" w:rsidRPr="005E0FDC" w:rsidRDefault="0045249F" w:rsidP="005E0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(1) техничке карактеристике постројења</w:t>
      </w:r>
      <w:r w:rsidR="007F30F8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</w:p>
    <w:p w14:paraId="3F4F0775" w14:textId="53677A80" w:rsidR="0045249F" w:rsidRPr="005E0FDC" w:rsidRDefault="0045249F" w:rsidP="005E0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(2) географску локацију постројења и</w:t>
      </w:r>
    </w:p>
    <w:p w14:paraId="55DDF0F0" w14:textId="061944AE" w:rsidR="0045249F" w:rsidRPr="005E0FDC" w:rsidRDefault="0045249F" w:rsidP="005E0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(3) локалне услове животне средин</w:t>
      </w:r>
      <w:r w:rsidR="007F30F8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e.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</w:p>
    <w:p w14:paraId="5C6D15C9" w14:textId="77777777" w:rsidR="004D59D4" w:rsidRPr="005E0FDC" w:rsidRDefault="004D59D4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</w:pPr>
    </w:p>
    <w:p w14:paraId="3E71146F" w14:textId="602447F1" w:rsidR="0045249F" w:rsidRPr="005E0FDC" w:rsidRDefault="0045249F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>Начело појачаног инспекцијског на</w:t>
      </w:r>
      <w:r w:rsidR="00A2208B" w:rsidRPr="005E0FDC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>дз</w:t>
      </w:r>
      <w:r w:rsidRPr="005E0FDC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>ора</w:t>
      </w:r>
    </w:p>
    <w:p w14:paraId="1329B9B9" w14:textId="77777777" w:rsidR="0045249F" w:rsidRPr="005E0FDC" w:rsidRDefault="0045249F" w:rsidP="005E0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Појачани инспекцијски на</w:t>
      </w:r>
      <w:r w:rsidR="00144746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дз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ор у области заштите живитне средине заснива се на плановима инспекције који се редовно ревидирају, ажурирају и који су доступни јавности.</w:t>
      </w:r>
    </w:p>
    <w:p w14:paraId="42C6A80D" w14:textId="77777777" w:rsidR="00764E5C" w:rsidRPr="005E0FDC" w:rsidRDefault="0045249F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 основу планова инспекцијског на</w:t>
      </w:r>
      <w:r w:rsidR="002F6F5E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дз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ора, надлежни орган редовно израђује програме рутинских инспекција животне средине, укључују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ћ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 учесталост обиласка локације за различите врсте постројења, на основу систематске процене еколошких ризика постројења, не дуже од једне године за инсталације које представљају најве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ћ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 ризик и три године за инсталације које представљају најмањи ризик.</w:t>
      </w:r>
    </w:p>
    <w:p w14:paraId="7A54EECE" w14:textId="77777777" w:rsidR="00D35A57" w:rsidRPr="005E0FDC" w:rsidRDefault="00D35A57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2CA0FB41" w14:textId="03AC0BFF" w:rsidR="00764E5C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E0FDC">
        <w:rPr>
          <w:rFonts w:ascii="Times New Roman" w:hAnsi="Times New Roman" w:cs="Times New Roman"/>
          <w:sz w:val="24"/>
          <w:szCs w:val="24"/>
          <w:u w:val="single"/>
          <w:lang w:val="ru-RU"/>
        </w:rPr>
        <w:t>Обавезе надлежног органа</w:t>
      </w:r>
      <w:r w:rsidRPr="005E0FDC">
        <w:rPr>
          <w:rFonts w:ascii="Times New Roman" w:hAnsi="Times New Roman" w:cs="Times New Roman"/>
          <w:sz w:val="24"/>
          <w:szCs w:val="24"/>
          <w:lang w:val="ru-RU"/>
        </w:rPr>
        <w:t xml:space="preserve"> односе се нарочито на следеће: </w:t>
      </w:r>
    </w:p>
    <w:p w14:paraId="0B31477B" w14:textId="41F06E8D" w:rsidR="00764E5C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0FDC">
        <w:rPr>
          <w:rFonts w:ascii="Times New Roman" w:hAnsi="Times New Roman" w:cs="Times New Roman"/>
          <w:sz w:val="24"/>
          <w:szCs w:val="24"/>
          <w:lang w:val="ru-RU"/>
        </w:rPr>
        <w:t>1) да рад нових постројења не започне пре добијања дозволе</w:t>
      </w:r>
      <w:r w:rsidRPr="005E0FDC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5E0F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AE13C7D" w14:textId="07744E36" w:rsidR="00764E5C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E0FDC">
        <w:rPr>
          <w:rFonts w:ascii="Times New Roman" w:hAnsi="Times New Roman" w:cs="Times New Roman"/>
          <w:sz w:val="24"/>
          <w:szCs w:val="24"/>
          <w:lang w:val="sr-Cyrl-CS"/>
        </w:rPr>
        <w:t>2) да рад постојећих постројења</w:t>
      </w:r>
      <w:r w:rsidRPr="005E0FDC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E0FDC">
        <w:rPr>
          <w:rFonts w:ascii="Times New Roman" w:hAnsi="Times New Roman" w:cs="Times New Roman"/>
          <w:sz w:val="24"/>
          <w:szCs w:val="24"/>
          <w:lang w:val="sr-Cyrl-CS"/>
        </w:rPr>
        <w:t xml:space="preserve"> започет пре ступања на снагу овог закона, буде усклађен са захтевима и условима утврђеним одредбама овог закона</w:t>
      </w:r>
      <w:r w:rsidRPr="005E0FDC">
        <w:rPr>
          <w:rFonts w:ascii="Times New Roman" w:hAnsi="Times New Roman" w:cs="Times New Roman"/>
          <w:sz w:val="24"/>
          <w:szCs w:val="24"/>
          <w:lang w:val="sr-Latn-CS"/>
        </w:rPr>
        <w:t>;</w:t>
      </w:r>
      <w:r w:rsidRPr="005E0F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CDF664A" w14:textId="787635C4" w:rsidR="00764E5C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E0FD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3) да услови и поступак издавања дозвола буду у потпуности координирани, када је у њих укључено више од једног надлежног органа; </w:t>
      </w:r>
    </w:p>
    <w:p w14:paraId="0C7B571E" w14:textId="073DC6B3" w:rsidR="00764E5C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E0FDC">
        <w:rPr>
          <w:rFonts w:ascii="Times New Roman" w:hAnsi="Times New Roman" w:cs="Times New Roman"/>
          <w:sz w:val="24"/>
          <w:szCs w:val="24"/>
          <w:lang w:val="sr-Cyrl-CS"/>
        </w:rPr>
        <w:t xml:space="preserve">4) праћење развоја најбоље доступних техника; </w:t>
      </w:r>
    </w:p>
    <w:p w14:paraId="3299FEA2" w14:textId="0B768EE6" w:rsidR="00764E5C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E0FDC">
        <w:rPr>
          <w:rFonts w:ascii="Times New Roman" w:hAnsi="Times New Roman" w:cs="Times New Roman"/>
          <w:sz w:val="24"/>
          <w:szCs w:val="24"/>
          <w:lang w:val="sr-Cyrl-CS"/>
        </w:rPr>
        <w:t>5) праћење и развој мониторинга који примењује оператер</w:t>
      </w:r>
      <w:r w:rsidRPr="005E0FDC">
        <w:rPr>
          <w:rFonts w:ascii="Times New Roman" w:hAnsi="Times New Roman" w:cs="Times New Roman"/>
          <w:sz w:val="24"/>
          <w:szCs w:val="24"/>
          <w:lang w:val="sr-Latn-CS"/>
        </w:rPr>
        <w:t>;</w:t>
      </w:r>
      <w:r w:rsidRPr="005E0F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33BB48F" w14:textId="10098704" w:rsidR="00764E5C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E0FDC">
        <w:rPr>
          <w:rFonts w:ascii="Times New Roman" w:hAnsi="Times New Roman" w:cs="Times New Roman"/>
          <w:sz w:val="24"/>
          <w:szCs w:val="24"/>
          <w:lang w:val="sr-Cyrl-CS"/>
        </w:rPr>
        <w:t xml:space="preserve">6) ревизију и по потреби ажурирање услова у дозволи; </w:t>
      </w:r>
    </w:p>
    <w:p w14:paraId="79842907" w14:textId="2B519614" w:rsidR="00764E5C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E0FDC">
        <w:rPr>
          <w:rFonts w:ascii="Times New Roman" w:hAnsi="Times New Roman" w:cs="Times New Roman"/>
          <w:sz w:val="24"/>
          <w:szCs w:val="24"/>
          <w:lang w:val="sr-Cyrl-CS"/>
        </w:rPr>
        <w:t xml:space="preserve">7) приступ јавности садржају захтева за издавање дозволе, нацрта дозволе и издатим дозволама, као и резултатима мониторинга и других јавно доступних података; </w:t>
      </w:r>
    </w:p>
    <w:p w14:paraId="24C53860" w14:textId="5B05C089" w:rsidR="00764E5C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E0FDC">
        <w:rPr>
          <w:rFonts w:ascii="Times New Roman" w:hAnsi="Times New Roman" w:cs="Times New Roman"/>
          <w:sz w:val="24"/>
          <w:szCs w:val="24"/>
          <w:lang w:val="sr-Cyrl-CS"/>
        </w:rPr>
        <w:t xml:space="preserve">8) регистар резултата мониторинга који обавља оператер; </w:t>
      </w:r>
    </w:p>
    <w:p w14:paraId="5A29DD41" w14:textId="73867AD3" w:rsidR="00764E5C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E0FDC">
        <w:rPr>
          <w:rFonts w:ascii="Times New Roman" w:hAnsi="Times New Roman" w:cs="Times New Roman"/>
          <w:sz w:val="24"/>
          <w:szCs w:val="24"/>
          <w:lang w:val="sr-Cyrl-CS"/>
        </w:rPr>
        <w:t>9) предузимање и других мера.</w:t>
      </w:r>
    </w:p>
    <w:p w14:paraId="2305072B" w14:textId="602F4610" w:rsidR="07FD9BFB" w:rsidRPr="005E0FDC" w:rsidRDefault="07FD9BFB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16AF7370" w14:textId="12EB9A2D" w:rsidR="00764E5C" w:rsidRPr="005E0FDC" w:rsidRDefault="07FD9BFB" w:rsidP="005E0FDC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 w:rsidRPr="005E0FDC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Обавезе оператера</w:t>
      </w:r>
      <w:r w:rsidRPr="005E0FDC">
        <w:rPr>
          <w:rFonts w:ascii="Times New Roman" w:hAnsi="Times New Roman" w:cs="Times New Roman"/>
          <w:sz w:val="24"/>
          <w:szCs w:val="24"/>
          <w:lang w:val="sr-Cyrl-RS"/>
        </w:rPr>
        <w:t xml:space="preserve"> односе се нарочито на следеће:</w:t>
      </w:r>
    </w:p>
    <w:p w14:paraId="6F053DAA" w14:textId="089E9938" w:rsidR="00764E5C" w:rsidRPr="005E0FDC" w:rsidRDefault="07FD9BFB" w:rsidP="005E0FDC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hr-HR"/>
        </w:rPr>
      </w:pP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>1)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да 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>предузме све одговарајуће превентивне мере ради спречавања загађења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односно 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>примењује најбоље доступне технике,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>не узрокује знатније загађење животне средине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</w:p>
    <w:p w14:paraId="58267DA1" w14:textId="6ABBEFC9" w:rsidR="00764E5C" w:rsidRPr="005E0FDC" w:rsidRDefault="07FD9BFB" w:rsidP="005E0FDC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hr-HR"/>
        </w:rPr>
      </w:pP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>2)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да 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 xml:space="preserve">избегава стварање отпада или 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да 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>се производња отпада смањује на најмању могућу меру у складу са прописима о управљању отпадом;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14:paraId="610BD32F" w14:textId="1BDD7D1D" w:rsidR="00764E5C" w:rsidRPr="005E0FDC" w:rsidRDefault="07FD9BFB" w:rsidP="005E0FDC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hr-HR"/>
        </w:rPr>
      </w:pP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>3)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да 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 xml:space="preserve">отпадом управља у складу са хијерархијом управљања отпадом; </w:t>
      </w:r>
    </w:p>
    <w:p w14:paraId="374D06C5" w14:textId="37333E2D" w:rsidR="00764E5C" w:rsidRPr="005E0FDC" w:rsidRDefault="07FD9BFB" w:rsidP="005E0FDC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hr-HR"/>
        </w:rPr>
      </w:pP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>4)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да 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>ефикасно користи енергију;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14:paraId="5183D030" w14:textId="37D7A8F8" w:rsidR="00764E5C" w:rsidRPr="005E0FDC" w:rsidRDefault="07FD9BFB" w:rsidP="005E0FDC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hr-HR"/>
        </w:rPr>
      </w:pP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>5)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>предузма све неопходне мере како би се спречили удеси и санирале њихове последице;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14:paraId="1F5B881B" w14:textId="43058507" w:rsidR="00764E5C" w:rsidRPr="005E0FDC" w:rsidRDefault="07FD9BFB" w:rsidP="005E0FDC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>6) да поступа у складу са условима прописаним у дозволи</w:t>
      </w:r>
      <w:r w:rsidR="00207C73" w:rsidRPr="005E0FDC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319DAFC" w14:textId="050019FF" w:rsidR="00764E5C" w:rsidRPr="005E0FDC" w:rsidRDefault="07FD9BFB" w:rsidP="005E0FDC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hr-HR"/>
        </w:rPr>
      </w:pP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>7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>)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да </w:t>
      </w:r>
      <w:r w:rsidRPr="005E0FDC">
        <w:rPr>
          <w:rFonts w:ascii="Times New Roman" w:eastAsiaTheme="minorEastAsia" w:hAnsi="Times New Roman" w:cs="Times New Roman"/>
          <w:sz w:val="24"/>
          <w:szCs w:val="24"/>
          <w:lang w:val="hr-HR"/>
        </w:rPr>
        <w:t>по престанку рада постројења предузма све мере како би се избегао ризик загађења животне средине и локација постројења вратила у задовољавајуће стање.</w:t>
      </w:r>
    </w:p>
    <w:p w14:paraId="61F2BD40" w14:textId="77777777" w:rsidR="00764E5C" w:rsidRPr="005E0FDC" w:rsidRDefault="00764E5C" w:rsidP="005E0FDC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85339EF" w14:textId="77777777" w:rsidR="00DB6384" w:rsidRPr="005E0FDC" w:rsidRDefault="009B4B53" w:rsidP="005E0FD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________________________________</w:t>
      </w:r>
    </w:p>
    <w:p w14:paraId="6BE25F10" w14:textId="77777777" w:rsidR="009B4B53" w:rsidRPr="005E0FDC" w:rsidRDefault="009B4B53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6665CF76" w14:textId="6FAEC38C" w:rsidR="0045249F" w:rsidRPr="005E0FDC" w:rsidRDefault="0045249F" w:rsidP="005E0FD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Сви предлози у тексту представљају само полазну основу за 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консултације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приликом израде Нацрта закона о интегрисаном спречавању и контроли загађивања животне средине и подложни су изменама.</w:t>
      </w:r>
    </w:p>
    <w:p w14:paraId="7424B27A" w14:textId="77777777" w:rsidR="009A0140" w:rsidRPr="005E0FDC" w:rsidRDefault="07FD9BFB" w:rsidP="005E0FDC">
      <w:p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Позивамо заинтересовану јавност да</w:t>
      </w:r>
      <w:r w:rsidR="00AB315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5D63E1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</w:t>
      </w:r>
      <w:r w:rsidR="00AB315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приложен</w:t>
      </w:r>
      <w:r w:rsidR="00DC12A0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 w:rsidR="00AB315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5D63E1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AB315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бра</w:t>
      </w:r>
      <w:r w:rsidR="005D63E1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сцу</w:t>
      </w:r>
      <w:r w:rsidR="00AB315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коментаре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AB315C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достави предлоге и сугестиј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Полазне основе Нацрта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закона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интегрисаном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спречавању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контроли 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загађивања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животне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217E5" w:rsidRPr="005E0FD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средине</w:t>
      </w:r>
      <w:r w:rsidR="00BC0E90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</w:p>
    <w:p w14:paraId="758853E1" w14:textId="4E872BE7" w:rsidR="009A0140" w:rsidRPr="005E0FDC" w:rsidRDefault="00710C99" w:rsidP="005E0FDC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Попуњен обра</w:t>
      </w:r>
      <w:r w:rsidR="00BD16E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зац</w:t>
      </w:r>
      <w:r w:rsidR="006C3E8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доставити</w:t>
      </w:r>
      <w:r w:rsidR="006C3E8C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bookmarkStart w:id="8" w:name="_Hlk188434563"/>
      <w:r w:rsidR="07FD9BFB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</w:t>
      </w:r>
      <w:r w:rsidR="07FD9BFB" w:rsidRPr="005E0FD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723804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BC0E90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 w:rsidR="07FD9BFB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="00723804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фебруара</w:t>
      </w:r>
      <w:r w:rsidR="07FD9BFB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2025.</w:t>
      </w:r>
      <w:r w:rsidR="0008744D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године</w:t>
      </w:r>
      <w:r w:rsidR="004A1EB4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bookmarkEnd w:id="8"/>
      <w:r w:rsidR="00B07242" w:rsidRPr="005E0FD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9A0140" w:rsidRPr="005E0FDC">
        <w:rPr>
          <w:rFonts w:ascii="Times New Roman" w:hAnsi="Times New Roman" w:cs="Times New Roman"/>
          <w:sz w:val="24"/>
          <w:szCs w:val="24"/>
          <w:lang w:val="ru-RU"/>
        </w:rPr>
        <w:t xml:space="preserve">на електронску адресу: </w:t>
      </w:r>
      <w:hyperlink r:id="rId14" w:history="1">
        <w:r w:rsidR="003D2CF1" w:rsidRPr="005A47A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ippczakon@eko.gov.rs</w:t>
        </w:r>
      </w:hyperlink>
      <w:r w:rsidR="003D2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0140" w:rsidRPr="005E0FDC">
        <w:rPr>
          <w:rFonts w:ascii="Times New Roman" w:hAnsi="Times New Roman" w:cs="Times New Roman"/>
          <w:sz w:val="24"/>
          <w:szCs w:val="24"/>
          <w:lang w:val="ru-RU"/>
        </w:rPr>
        <w:t>или на адресу</w:t>
      </w:r>
      <w:r w:rsidR="0034323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A0140" w:rsidRPr="005E0F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233" w:rsidRPr="005E0FDC">
        <w:rPr>
          <w:rFonts w:ascii="Times New Roman" w:hAnsi="Times New Roman" w:cs="Times New Roman"/>
          <w:sz w:val="24"/>
          <w:szCs w:val="24"/>
          <w:lang w:val="ru-RU"/>
        </w:rPr>
        <w:t>Министарств</w:t>
      </w:r>
      <w:r w:rsidR="0034323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43233" w:rsidRPr="005E0FDC">
        <w:rPr>
          <w:rFonts w:ascii="Times New Roman" w:hAnsi="Times New Roman" w:cs="Times New Roman"/>
          <w:sz w:val="24"/>
          <w:szCs w:val="24"/>
          <w:lang w:val="ru-RU"/>
        </w:rPr>
        <w:t xml:space="preserve"> заштите животне средине, Омладинских бригада бр</w:t>
      </w:r>
      <w:r w:rsidR="00343233" w:rsidRPr="005E0FDC">
        <w:rPr>
          <w:rFonts w:ascii="Times New Roman" w:hAnsi="Times New Roman" w:cs="Times New Roman"/>
          <w:sz w:val="24"/>
          <w:szCs w:val="24"/>
        </w:rPr>
        <w:t xml:space="preserve">oj </w:t>
      </w:r>
      <w:r w:rsidR="00343233" w:rsidRPr="005E0FDC">
        <w:rPr>
          <w:rFonts w:ascii="Times New Roman" w:hAnsi="Times New Roman" w:cs="Times New Roman"/>
          <w:sz w:val="24"/>
          <w:szCs w:val="24"/>
          <w:lang w:val="ru-RU"/>
        </w:rPr>
        <w:t xml:space="preserve">1, 11070 Београд </w:t>
      </w:r>
      <w:r w:rsidR="00343233">
        <w:rPr>
          <w:rFonts w:ascii="Times New Roman" w:hAnsi="Times New Roman" w:cs="Times New Roman"/>
          <w:sz w:val="24"/>
          <w:szCs w:val="24"/>
          <w:lang w:val="ru-RU"/>
        </w:rPr>
        <w:t xml:space="preserve">са назнаком за </w:t>
      </w:r>
      <w:r w:rsidR="00343233" w:rsidRPr="005E0FDC">
        <w:rPr>
          <w:rFonts w:ascii="Times New Roman" w:hAnsi="Times New Roman" w:cs="Times New Roman"/>
          <w:sz w:val="24"/>
          <w:szCs w:val="24"/>
          <w:lang w:val="ru-RU"/>
        </w:rPr>
        <w:t>Сектор за управљање животном средином,</w:t>
      </w:r>
      <w:r w:rsidR="00343233" w:rsidRPr="005E0FDC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Одељење за интегрисане дозволе</w:t>
      </w:r>
      <w:r w:rsidR="009A0140" w:rsidRPr="005E0F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A0140" w:rsidRPr="005E0FDC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Контакт особа, одређена за </w:t>
      </w:r>
      <w:r w:rsidR="009A0140" w:rsidRPr="005E0FDC">
        <w:rPr>
          <w:rFonts w:ascii="Times New Roman" w:hAnsi="Times New Roman" w:cs="Times New Roman"/>
          <w:sz w:val="24"/>
          <w:szCs w:val="24"/>
          <w:lang w:val="sr-Cyrl-RS" w:eastAsia="sr-Latn-RS"/>
        </w:rPr>
        <w:lastRenderedPageBreak/>
        <w:t>координатора консултација је Сара Рвовић, државни службеник у Одељењу за интегрисане дозволе (број тел</w:t>
      </w:r>
      <w:r w:rsidR="005E0FDC" w:rsidRPr="005E0FDC">
        <w:rPr>
          <w:rFonts w:ascii="Times New Roman" w:hAnsi="Times New Roman" w:cs="Times New Roman"/>
          <w:sz w:val="24"/>
          <w:szCs w:val="24"/>
          <w:lang w:val="sr-Cyrl-RS" w:eastAsia="sr-Latn-RS"/>
        </w:rPr>
        <w:t>ефона</w:t>
      </w:r>
      <w:r w:rsidR="009A0140" w:rsidRPr="005E0FDC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011/2691-692).</w:t>
      </w:r>
    </w:p>
    <w:p w14:paraId="0A06CFBC" w14:textId="77777777" w:rsidR="009A0140" w:rsidRPr="007D0E1E" w:rsidRDefault="009A0140" w:rsidP="009A0140">
      <w:pPr>
        <w:keepNext/>
        <w:keepLines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0317280B" w14:textId="425C0F7A" w:rsidR="007764AB" w:rsidRPr="007D0E1E" w:rsidRDefault="007764AB" w:rsidP="00C217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sectPr w:rsidR="007764AB" w:rsidRPr="007D0E1E" w:rsidSect="00A304EE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50DDA" w14:textId="77777777" w:rsidR="009743AD" w:rsidRDefault="009743AD" w:rsidP="00352EBE">
      <w:pPr>
        <w:spacing w:after="0" w:line="240" w:lineRule="auto"/>
      </w:pPr>
      <w:r>
        <w:separator/>
      </w:r>
    </w:p>
  </w:endnote>
  <w:endnote w:type="continuationSeparator" w:id="0">
    <w:p w14:paraId="46EBBD4D" w14:textId="77777777" w:rsidR="009743AD" w:rsidRDefault="009743AD" w:rsidP="00352EBE">
      <w:pPr>
        <w:spacing w:after="0" w:line="240" w:lineRule="auto"/>
      </w:pPr>
      <w:r>
        <w:continuationSeparator/>
      </w:r>
    </w:p>
  </w:endnote>
  <w:endnote w:type="continuationNotice" w:id="1">
    <w:p w14:paraId="4D66043A" w14:textId="77777777" w:rsidR="009743AD" w:rsidRDefault="00974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23F5E" w14:textId="77777777" w:rsidR="009743AD" w:rsidRDefault="009743AD" w:rsidP="00352EBE">
      <w:pPr>
        <w:spacing w:after="0" w:line="240" w:lineRule="auto"/>
      </w:pPr>
      <w:r>
        <w:separator/>
      </w:r>
    </w:p>
  </w:footnote>
  <w:footnote w:type="continuationSeparator" w:id="0">
    <w:p w14:paraId="4A54E769" w14:textId="77777777" w:rsidR="009743AD" w:rsidRDefault="009743AD" w:rsidP="00352EBE">
      <w:pPr>
        <w:spacing w:after="0" w:line="240" w:lineRule="auto"/>
      </w:pPr>
      <w:r>
        <w:continuationSeparator/>
      </w:r>
    </w:p>
  </w:footnote>
  <w:footnote w:type="continuationNotice" w:id="1">
    <w:p w14:paraId="14FB8B56" w14:textId="77777777" w:rsidR="009743AD" w:rsidRDefault="009743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6ABE"/>
    <w:multiLevelType w:val="hybridMultilevel"/>
    <w:tmpl w:val="96A825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F69"/>
    <w:multiLevelType w:val="hybridMultilevel"/>
    <w:tmpl w:val="46988984"/>
    <w:lvl w:ilvl="0" w:tplc="041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6D9C"/>
    <w:multiLevelType w:val="hybridMultilevel"/>
    <w:tmpl w:val="BD90EDBE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2195"/>
    <w:multiLevelType w:val="hybridMultilevel"/>
    <w:tmpl w:val="FC5885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288B"/>
    <w:multiLevelType w:val="hybridMultilevel"/>
    <w:tmpl w:val="26DE65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7A5C"/>
    <w:multiLevelType w:val="hybridMultilevel"/>
    <w:tmpl w:val="F7C031D4"/>
    <w:lvl w:ilvl="0" w:tplc="041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85D6A"/>
    <w:multiLevelType w:val="multilevel"/>
    <w:tmpl w:val="F2E86D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F6A38"/>
    <w:multiLevelType w:val="hybridMultilevel"/>
    <w:tmpl w:val="0600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D45C8"/>
    <w:multiLevelType w:val="hybridMultilevel"/>
    <w:tmpl w:val="AAE814B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112949"/>
    <w:multiLevelType w:val="hybridMultilevel"/>
    <w:tmpl w:val="0D98D69E"/>
    <w:lvl w:ilvl="0" w:tplc="041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7D51"/>
    <w:multiLevelType w:val="hybridMultilevel"/>
    <w:tmpl w:val="C6761C78"/>
    <w:lvl w:ilvl="0" w:tplc="A0243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8206E"/>
    <w:multiLevelType w:val="hybridMultilevel"/>
    <w:tmpl w:val="B2B69C90"/>
    <w:lvl w:ilvl="0" w:tplc="D7845C0C">
      <w:numFmt w:val="bullet"/>
      <w:lvlText w:val="•"/>
      <w:lvlJc w:val="left"/>
      <w:pPr>
        <w:ind w:left="644" w:hanging="360"/>
      </w:pPr>
      <w:rPr>
        <w:rFonts w:ascii="Segoe UI" w:eastAsiaTheme="minorHAnsi" w:hAnsi="Segoe UI" w:cs="Segoe UI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E14CDE"/>
    <w:multiLevelType w:val="hybridMultilevel"/>
    <w:tmpl w:val="C97875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563295"/>
    <w:multiLevelType w:val="hybridMultilevel"/>
    <w:tmpl w:val="7390D3E0"/>
    <w:lvl w:ilvl="0" w:tplc="8D5A32C8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440BA"/>
    <w:multiLevelType w:val="hybridMultilevel"/>
    <w:tmpl w:val="B91AC9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C4FC0"/>
    <w:multiLevelType w:val="hybridMultilevel"/>
    <w:tmpl w:val="56DEF7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5C5108"/>
    <w:multiLevelType w:val="multilevel"/>
    <w:tmpl w:val="ED1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020202"/>
    <w:multiLevelType w:val="hybridMultilevel"/>
    <w:tmpl w:val="E7E6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74BFE"/>
    <w:multiLevelType w:val="hybridMultilevel"/>
    <w:tmpl w:val="3014DE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664D6"/>
    <w:multiLevelType w:val="hybridMultilevel"/>
    <w:tmpl w:val="402C58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6224EC"/>
    <w:multiLevelType w:val="hybridMultilevel"/>
    <w:tmpl w:val="ACD025EA"/>
    <w:lvl w:ilvl="0" w:tplc="C4FC76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15AD1"/>
    <w:multiLevelType w:val="hybridMultilevel"/>
    <w:tmpl w:val="E4A6772A"/>
    <w:lvl w:ilvl="0" w:tplc="AE96562A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23724"/>
    <w:multiLevelType w:val="multilevel"/>
    <w:tmpl w:val="55F4E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B20B6A"/>
    <w:multiLevelType w:val="multilevel"/>
    <w:tmpl w:val="090EE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E73A58"/>
    <w:multiLevelType w:val="hybridMultilevel"/>
    <w:tmpl w:val="112635FA"/>
    <w:lvl w:ilvl="0" w:tplc="A02436C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6545088"/>
    <w:multiLevelType w:val="hybridMultilevel"/>
    <w:tmpl w:val="DB74AD96"/>
    <w:lvl w:ilvl="0" w:tplc="E396AD24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24427"/>
    <w:multiLevelType w:val="hybridMultilevel"/>
    <w:tmpl w:val="B132518E"/>
    <w:lvl w:ilvl="0" w:tplc="B36CAFA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45B01"/>
    <w:multiLevelType w:val="hybridMultilevel"/>
    <w:tmpl w:val="106E9E86"/>
    <w:lvl w:ilvl="0" w:tplc="041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11EC7"/>
    <w:multiLevelType w:val="hybridMultilevel"/>
    <w:tmpl w:val="06F2E254"/>
    <w:lvl w:ilvl="0" w:tplc="CFE2C8E2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B0966"/>
    <w:multiLevelType w:val="hybridMultilevel"/>
    <w:tmpl w:val="8E52810A"/>
    <w:lvl w:ilvl="0" w:tplc="D75A2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BC7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02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41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6C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84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C01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2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EC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8D39AA"/>
    <w:multiLevelType w:val="hybridMultilevel"/>
    <w:tmpl w:val="CC7401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F514D"/>
    <w:multiLevelType w:val="multilevel"/>
    <w:tmpl w:val="76423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A045C4"/>
    <w:multiLevelType w:val="hybridMultilevel"/>
    <w:tmpl w:val="70329E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F049E"/>
    <w:multiLevelType w:val="hybridMultilevel"/>
    <w:tmpl w:val="937224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6029F"/>
    <w:multiLevelType w:val="hybridMultilevel"/>
    <w:tmpl w:val="5E44AB18"/>
    <w:lvl w:ilvl="0" w:tplc="73BA13C6">
      <w:start w:val="96"/>
      <w:numFmt w:val="bullet"/>
      <w:lvlText w:val="-"/>
      <w:lvlJc w:val="left"/>
      <w:pPr>
        <w:ind w:left="81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B2985"/>
    <w:multiLevelType w:val="multilevel"/>
    <w:tmpl w:val="1A6CE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3628A7"/>
    <w:multiLevelType w:val="hybridMultilevel"/>
    <w:tmpl w:val="829AEFE2"/>
    <w:lvl w:ilvl="0" w:tplc="73BA13C6">
      <w:start w:val="96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9152D4"/>
    <w:multiLevelType w:val="hybridMultilevel"/>
    <w:tmpl w:val="838639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F3F80"/>
    <w:multiLevelType w:val="hybridMultilevel"/>
    <w:tmpl w:val="B09E0F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331C4"/>
    <w:multiLevelType w:val="hybridMultilevel"/>
    <w:tmpl w:val="BF7454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56CC3"/>
    <w:multiLevelType w:val="hybridMultilevel"/>
    <w:tmpl w:val="7B2CB816"/>
    <w:lvl w:ilvl="0" w:tplc="C80295C0">
      <w:numFmt w:val="bullet"/>
      <w:lvlText w:val="•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C1602"/>
    <w:multiLevelType w:val="hybridMultilevel"/>
    <w:tmpl w:val="04AA29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357355">
    <w:abstractNumId w:val="16"/>
  </w:num>
  <w:num w:numId="2" w16cid:durableId="1198201333">
    <w:abstractNumId w:val="23"/>
  </w:num>
  <w:num w:numId="3" w16cid:durableId="1335764935">
    <w:abstractNumId w:val="22"/>
  </w:num>
  <w:num w:numId="4" w16cid:durableId="126052510">
    <w:abstractNumId w:val="35"/>
  </w:num>
  <w:num w:numId="5" w16cid:durableId="16544226">
    <w:abstractNumId w:val="31"/>
  </w:num>
  <w:num w:numId="6" w16cid:durableId="449053627">
    <w:abstractNumId w:val="6"/>
  </w:num>
  <w:num w:numId="7" w16cid:durableId="220332334">
    <w:abstractNumId w:val="37"/>
  </w:num>
  <w:num w:numId="8" w16cid:durableId="1611352197">
    <w:abstractNumId w:val="18"/>
  </w:num>
  <w:num w:numId="9" w16cid:durableId="404112796">
    <w:abstractNumId w:val="26"/>
  </w:num>
  <w:num w:numId="10" w16cid:durableId="685058329">
    <w:abstractNumId w:val="34"/>
  </w:num>
  <w:num w:numId="11" w16cid:durableId="1691182797">
    <w:abstractNumId w:val="36"/>
  </w:num>
  <w:num w:numId="12" w16cid:durableId="275672754">
    <w:abstractNumId w:val="10"/>
  </w:num>
  <w:num w:numId="13" w16cid:durableId="1614676697">
    <w:abstractNumId w:val="24"/>
  </w:num>
  <w:num w:numId="14" w16cid:durableId="314915400">
    <w:abstractNumId w:val="2"/>
  </w:num>
  <w:num w:numId="15" w16cid:durableId="287048122">
    <w:abstractNumId w:val="4"/>
  </w:num>
  <w:num w:numId="16" w16cid:durableId="1133790570">
    <w:abstractNumId w:val="19"/>
  </w:num>
  <w:num w:numId="17" w16cid:durableId="364209844">
    <w:abstractNumId w:val="5"/>
  </w:num>
  <w:num w:numId="18" w16cid:durableId="793595822">
    <w:abstractNumId w:val="27"/>
  </w:num>
  <w:num w:numId="19" w16cid:durableId="1537501165">
    <w:abstractNumId w:val="1"/>
  </w:num>
  <w:num w:numId="20" w16cid:durableId="376124215">
    <w:abstractNumId w:val="9"/>
  </w:num>
  <w:num w:numId="21" w16cid:durableId="999622767">
    <w:abstractNumId w:val="33"/>
  </w:num>
  <w:num w:numId="22" w16cid:durableId="788815116">
    <w:abstractNumId w:val="38"/>
  </w:num>
  <w:num w:numId="23" w16cid:durableId="1499348368">
    <w:abstractNumId w:val="39"/>
  </w:num>
  <w:num w:numId="24" w16cid:durableId="919213272">
    <w:abstractNumId w:val="32"/>
  </w:num>
  <w:num w:numId="25" w16cid:durableId="1293250546">
    <w:abstractNumId w:val="12"/>
  </w:num>
  <w:num w:numId="26" w16cid:durableId="1023164120">
    <w:abstractNumId w:val="15"/>
  </w:num>
  <w:num w:numId="27" w16cid:durableId="2045790468">
    <w:abstractNumId w:val="30"/>
  </w:num>
  <w:num w:numId="28" w16cid:durableId="1379013977">
    <w:abstractNumId w:val="8"/>
  </w:num>
  <w:num w:numId="29" w16cid:durableId="1612280108">
    <w:abstractNumId w:val="11"/>
  </w:num>
  <w:num w:numId="30" w16cid:durableId="368065583">
    <w:abstractNumId w:val="0"/>
  </w:num>
  <w:num w:numId="31" w16cid:durableId="817767899">
    <w:abstractNumId w:val="28"/>
  </w:num>
  <w:num w:numId="32" w16cid:durableId="1043675358">
    <w:abstractNumId w:val="41"/>
  </w:num>
  <w:num w:numId="33" w16cid:durableId="1700548929">
    <w:abstractNumId w:val="21"/>
  </w:num>
  <w:num w:numId="34" w16cid:durableId="143204000">
    <w:abstractNumId w:val="14"/>
  </w:num>
  <w:num w:numId="35" w16cid:durableId="796028274">
    <w:abstractNumId w:val="40"/>
  </w:num>
  <w:num w:numId="36" w16cid:durableId="398753671">
    <w:abstractNumId w:val="3"/>
  </w:num>
  <w:num w:numId="37" w16cid:durableId="1870870572">
    <w:abstractNumId w:val="25"/>
  </w:num>
  <w:num w:numId="38" w16cid:durableId="598293879">
    <w:abstractNumId w:val="13"/>
  </w:num>
  <w:num w:numId="39" w16cid:durableId="1474717145">
    <w:abstractNumId w:val="7"/>
  </w:num>
  <w:num w:numId="40" w16cid:durableId="1955090262">
    <w:abstractNumId w:val="17"/>
  </w:num>
  <w:num w:numId="41" w16cid:durableId="1446656216">
    <w:abstractNumId w:val="20"/>
  </w:num>
  <w:num w:numId="42" w16cid:durableId="17919011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AB"/>
    <w:rsid w:val="00000915"/>
    <w:rsid w:val="000013DA"/>
    <w:rsid w:val="00002D7C"/>
    <w:rsid w:val="00005765"/>
    <w:rsid w:val="00007E15"/>
    <w:rsid w:val="00010211"/>
    <w:rsid w:val="000128F8"/>
    <w:rsid w:val="00012BBB"/>
    <w:rsid w:val="00012E32"/>
    <w:rsid w:val="00013A09"/>
    <w:rsid w:val="00020DEE"/>
    <w:rsid w:val="0002132B"/>
    <w:rsid w:val="00023A36"/>
    <w:rsid w:val="00026D34"/>
    <w:rsid w:val="00027909"/>
    <w:rsid w:val="00035E79"/>
    <w:rsid w:val="00036F97"/>
    <w:rsid w:val="00037E69"/>
    <w:rsid w:val="00040D1E"/>
    <w:rsid w:val="00040EEE"/>
    <w:rsid w:val="00041653"/>
    <w:rsid w:val="000424E9"/>
    <w:rsid w:val="00042584"/>
    <w:rsid w:val="00053221"/>
    <w:rsid w:val="000557BC"/>
    <w:rsid w:val="00056B3A"/>
    <w:rsid w:val="0006015D"/>
    <w:rsid w:val="0006160C"/>
    <w:rsid w:val="00061970"/>
    <w:rsid w:val="000627FD"/>
    <w:rsid w:val="0006619A"/>
    <w:rsid w:val="00066647"/>
    <w:rsid w:val="00066D5A"/>
    <w:rsid w:val="00072504"/>
    <w:rsid w:val="00073AF4"/>
    <w:rsid w:val="000805CF"/>
    <w:rsid w:val="00080E68"/>
    <w:rsid w:val="00086E31"/>
    <w:rsid w:val="0008744D"/>
    <w:rsid w:val="00087854"/>
    <w:rsid w:val="00093EC9"/>
    <w:rsid w:val="0009519E"/>
    <w:rsid w:val="00096464"/>
    <w:rsid w:val="00096500"/>
    <w:rsid w:val="000A0BF7"/>
    <w:rsid w:val="000A315D"/>
    <w:rsid w:val="000A317C"/>
    <w:rsid w:val="000A442A"/>
    <w:rsid w:val="000A6D64"/>
    <w:rsid w:val="000A71CD"/>
    <w:rsid w:val="000A7B60"/>
    <w:rsid w:val="000A7C7E"/>
    <w:rsid w:val="000B4D0A"/>
    <w:rsid w:val="000C23B8"/>
    <w:rsid w:val="000D245A"/>
    <w:rsid w:val="000D32C2"/>
    <w:rsid w:val="000D6CC9"/>
    <w:rsid w:val="000D71EF"/>
    <w:rsid w:val="000E4050"/>
    <w:rsid w:val="000E4330"/>
    <w:rsid w:val="000F09FD"/>
    <w:rsid w:val="000F7DB7"/>
    <w:rsid w:val="000F7FED"/>
    <w:rsid w:val="00102303"/>
    <w:rsid w:val="0010399D"/>
    <w:rsid w:val="001054FC"/>
    <w:rsid w:val="00106E7E"/>
    <w:rsid w:val="00110451"/>
    <w:rsid w:val="00110CB4"/>
    <w:rsid w:val="0011143D"/>
    <w:rsid w:val="0012155E"/>
    <w:rsid w:val="00130305"/>
    <w:rsid w:val="00130A45"/>
    <w:rsid w:val="00136710"/>
    <w:rsid w:val="0014115F"/>
    <w:rsid w:val="001424BA"/>
    <w:rsid w:val="00144746"/>
    <w:rsid w:val="0014585C"/>
    <w:rsid w:val="00150CAE"/>
    <w:rsid w:val="00151C58"/>
    <w:rsid w:val="00153345"/>
    <w:rsid w:val="001576B6"/>
    <w:rsid w:val="001663D2"/>
    <w:rsid w:val="001735B5"/>
    <w:rsid w:val="00175180"/>
    <w:rsid w:val="0017789B"/>
    <w:rsid w:val="00182B9F"/>
    <w:rsid w:val="0018358E"/>
    <w:rsid w:val="00186A67"/>
    <w:rsid w:val="00190815"/>
    <w:rsid w:val="00194AF6"/>
    <w:rsid w:val="00197312"/>
    <w:rsid w:val="001A2FB2"/>
    <w:rsid w:val="001A331C"/>
    <w:rsid w:val="001A425C"/>
    <w:rsid w:val="001A42DC"/>
    <w:rsid w:val="001A53C4"/>
    <w:rsid w:val="001B13BF"/>
    <w:rsid w:val="001B140B"/>
    <w:rsid w:val="001B2352"/>
    <w:rsid w:val="001B373C"/>
    <w:rsid w:val="001B3A78"/>
    <w:rsid w:val="001B5F08"/>
    <w:rsid w:val="001C5748"/>
    <w:rsid w:val="001C5836"/>
    <w:rsid w:val="001D2C7E"/>
    <w:rsid w:val="001D3312"/>
    <w:rsid w:val="001D7BF1"/>
    <w:rsid w:val="001E11F6"/>
    <w:rsid w:val="001E44CF"/>
    <w:rsid w:val="001E5A4A"/>
    <w:rsid w:val="001E72BC"/>
    <w:rsid w:val="001F0BC7"/>
    <w:rsid w:val="001F1577"/>
    <w:rsid w:val="001F32E9"/>
    <w:rsid w:val="00200494"/>
    <w:rsid w:val="00200AD0"/>
    <w:rsid w:val="00207C73"/>
    <w:rsid w:val="002103E1"/>
    <w:rsid w:val="002135AC"/>
    <w:rsid w:val="0022087C"/>
    <w:rsid w:val="00221D6B"/>
    <w:rsid w:val="00224EB6"/>
    <w:rsid w:val="00226C18"/>
    <w:rsid w:val="00231FAA"/>
    <w:rsid w:val="00233F74"/>
    <w:rsid w:val="00235C99"/>
    <w:rsid w:val="002372FB"/>
    <w:rsid w:val="002420B1"/>
    <w:rsid w:val="002434A0"/>
    <w:rsid w:val="002435DA"/>
    <w:rsid w:val="0024609B"/>
    <w:rsid w:val="00250AEB"/>
    <w:rsid w:val="0025275F"/>
    <w:rsid w:val="00255670"/>
    <w:rsid w:val="002567CC"/>
    <w:rsid w:val="002619CB"/>
    <w:rsid w:val="00264698"/>
    <w:rsid w:val="00265D6B"/>
    <w:rsid w:val="00266220"/>
    <w:rsid w:val="00267348"/>
    <w:rsid w:val="00273430"/>
    <w:rsid w:val="00277485"/>
    <w:rsid w:val="00277C25"/>
    <w:rsid w:val="0028162C"/>
    <w:rsid w:val="00283F01"/>
    <w:rsid w:val="00287816"/>
    <w:rsid w:val="00287A4A"/>
    <w:rsid w:val="00291981"/>
    <w:rsid w:val="00296925"/>
    <w:rsid w:val="00297453"/>
    <w:rsid w:val="002A5317"/>
    <w:rsid w:val="002A60A7"/>
    <w:rsid w:val="002B0BAD"/>
    <w:rsid w:val="002B3227"/>
    <w:rsid w:val="002B5F7F"/>
    <w:rsid w:val="002C0FDC"/>
    <w:rsid w:val="002C177E"/>
    <w:rsid w:val="002C294B"/>
    <w:rsid w:val="002C3F76"/>
    <w:rsid w:val="002C4292"/>
    <w:rsid w:val="002C4C41"/>
    <w:rsid w:val="002C60B0"/>
    <w:rsid w:val="002D0E21"/>
    <w:rsid w:val="002E0B7E"/>
    <w:rsid w:val="002E35C8"/>
    <w:rsid w:val="002E436E"/>
    <w:rsid w:val="002E4AEA"/>
    <w:rsid w:val="002E7518"/>
    <w:rsid w:val="002F0E42"/>
    <w:rsid w:val="002F0EAD"/>
    <w:rsid w:val="002F1036"/>
    <w:rsid w:val="002F1C5F"/>
    <w:rsid w:val="002F254F"/>
    <w:rsid w:val="002F6F5E"/>
    <w:rsid w:val="002F7C28"/>
    <w:rsid w:val="003001FC"/>
    <w:rsid w:val="00304D1B"/>
    <w:rsid w:val="00310D1A"/>
    <w:rsid w:val="00310FDD"/>
    <w:rsid w:val="00312E77"/>
    <w:rsid w:val="003132CD"/>
    <w:rsid w:val="00313792"/>
    <w:rsid w:val="0032349C"/>
    <w:rsid w:val="003265AE"/>
    <w:rsid w:val="00341EB7"/>
    <w:rsid w:val="00343233"/>
    <w:rsid w:val="00352EBE"/>
    <w:rsid w:val="00357C35"/>
    <w:rsid w:val="00363966"/>
    <w:rsid w:val="003641EA"/>
    <w:rsid w:val="00367918"/>
    <w:rsid w:val="00370E8A"/>
    <w:rsid w:val="003728A1"/>
    <w:rsid w:val="0037347B"/>
    <w:rsid w:val="00373893"/>
    <w:rsid w:val="003743B9"/>
    <w:rsid w:val="003747C8"/>
    <w:rsid w:val="003820E1"/>
    <w:rsid w:val="00382C88"/>
    <w:rsid w:val="00383137"/>
    <w:rsid w:val="003843F6"/>
    <w:rsid w:val="00385422"/>
    <w:rsid w:val="0038547F"/>
    <w:rsid w:val="00387591"/>
    <w:rsid w:val="003876A0"/>
    <w:rsid w:val="00387963"/>
    <w:rsid w:val="00387A1E"/>
    <w:rsid w:val="00393743"/>
    <w:rsid w:val="0039524D"/>
    <w:rsid w:val="003963AE"/>
    <w:rsid w:val="003A1F13"/>
    <w:rsid w:val="003A2915"/>
    <w:rsid w:val="003A720C"/>
    <w:rsid w:val="003A7595"/>
    <w:rsid w:val="003A788F"/>
    <w:rsid w:val="003B073C"/>
    <w:rsid w:val="003B07CB"/>
    <w:rsid w:val="003B0AB0"/>
    <w:rsid w:val="003B1F0E"/>
    <w:rsid w:val="003B4349"/>
    <w:rsid w:val="003B6650"/>
    <w:rsid w:val="003B6A16"/>
    <w:rsid w:val="003B73FE"/>
    <w:rsid w:val="003B7458"/>
    <w:rsid w:val="003C081D"/>
    <w:rsid w:val="003C4FD7"/>
    <w:rsid w:val="003C5B77"/>
    <w:rsid w:val="003D0DF1"/>
    <w:rsid w:val="003D2CF1"/>
    <w:rsid w:val="003D5A02"/>
    <w:rsid w:val="003D6F28"/>
    <w:rsid w:val="003E0292"/>
    <w:rsid w:val="003E34D0"/>
    <w:rsid w:val="003F2BB4"/>
    <w:rsid w:val="003F42D1"/>
    <w:rsid w:val="003F62EC"/>
    <w:rsid w:val="00402355"/>
    <w:rsid w:val="00403095"/>
    <w:rsid w:val="0041173C"/>
    <w:rsid w:val="004126C4"/>
    <w:rsid w:val="00416188"/>
    <w:rsid w:val="00416E72"/>
    <w:rsid w:val="00421112"/>
    <w:rsid w:val="00421931"/>
    <w:rsid w:val="00424F69"/>
    <w:rsid w:val="00430E49"/>
    <w:rsid w:val="00435553"/>
    <w:rsid w:val="00437EF3"/>
    <w:rsid w:val="00440EE8"/>
    <w:rsid w:val="00441DE6"/>
    <w:rsid w:val="0044529B"/>
    <w:rsid w:val="00445D42"/>
    <w:rsid w:val="0045056E"/>
    <w:rsid w:val="00450FBF"/>
    <w:rsid w:val="0045249F"/>
    <w:rsid w:val="00453638"/>
    <w:rsid w:val="00454B4F"/>
    <w:rsid w:val="00457F4C"/>
    <w:rsid w:val="004655E6"/>
    <w:rsid w:val="0047073C"/>
    <w:rsid w:val="0047356F"/>
    <w:rsid w:val="00480176"/>
    <w:rsid w:val="004872A4"/>
    <w:rsid w:val="00487349"/>
    <w:rsid w:val="004A1EB4"/>
    <w:rsid w:val="004A281F"/>
    <w:rsid w:val="004A2FB0"/>
    <w:rsid w:val="004A34F1"/>
    <w:rsid w:val="004A5794"/>
    <w:rsid w:val="004A5F4A"/>
    <w:rsid w:val="004A5F89"/>
    <w:rsid w:val="004A643B"/>
    <w:rsid w:val="004B0FA7"/>
    <w:rsid w:val="004B2739"/>
    <w:rsid w:val="004B6A67"/>
    <w:rsid w:val="004B7568"/>
    <w:rsid w:val="004C1157"/>
    <w:rsid w:val="004C3487"/>
    <w:rsid w:val="004C4161"/>
    <w:rsid w:val="004C5170"/>
    <w:rsid w:val="004C7B05"/>
    <w:rsid w:val="004D1746"/>
    <w:rsid w:val="004D59D4"/>
    <w:rsid w:val="004D79A2"/>
    <w:rsid w:val="004E01D0"/>
    <w:rsid w:val="004E489D"/>
    <w:rsid w:val="004E54F3"/>
    <w:rsid w:val="004E7721"/>
    <w:rsid w:val="004E79B3"/>
    <w:rsid w:val="004E7BBF"/>
    <w:rsid w:val="004F3078"/>
    <w:rsid w:val="004F68A7"/>
    <w:rsid w:val="00504878"/>
    <w:rsid w:val="00505D45"/>
    <w:rsid w:val="005069F2"/>
    <w:rsid w:val="005072E7"/>
    <w:rsid w:val="005104A3"/>
    <w:rsid w:val="00511205"/>
    <w:rsid w:val="0051472C"/>
    <w:rsid w:val="00514AAC"/>
    <w:rsid w:val="00515C76"/>
    <w:rsid w:val="00516097"/>
    <w:rsid w:val="00520463"/>
    <w:rsid w:val="00526B4A"/>
    <w:rsid w:val="0052724A"/>
    <w:rsid w:val="00531F2C"/>
    <w:rsid w:val="00537DBA"/>
    <w:rsid w:val="00541F45"/>
    <w:rsid w:val="0054451C"/>
    <w:rsid w:val="0054462F"/>
    <w:rsid w:val="005464DD"/>
    <w:rsid w:val="0054726A"/>
    <w:rsid w:val="00550FC6"/>
    <w:rsid w:val="00553A08"/>
    <w:rsid w:val="00553D86"/>
    <w:rsid w:val="00556199"/>
    <w:rsid w:val="00556838"/>
    <w:rsid w:val="00557913"/>
    <w:rsid w:val="005649EA"/>
    <w:rsid w:val="00564B17"/>
    <w:rsid w:val="00566BCA"/>
    <w:rsid w:val="005673FA"/>
    <w:rsid w:val="00570CF1"/>
    <w:rsid w:val="00574B83"/>
    <w:rsid w:val="00584F56"/>
    <w:rsid w:val="0058667D"/>
    <w:rsid w:val="00587937"/>
    <w:rsid w:val="00590D65"/>
    <w:rsid w:val="00591923"/>
    <w:rsid w:val="00591FD6"/>
    <w:rsid w:val="00592E2C"/>
    <w:rsid w:val="0059456A"/>
    <w:rsid w:val="00596A6E"/>
    <w:rsid w:val="005A180F"/>
    <w:rsid w:val="005A3D22"/>
    <w:rsid w:val="005A40D5"/>
    <w:rsid w:val="005B2CA5"/>
    <w:rsid w:val="005B743C"/>
    <w:rsid w:val="005C026D"/>
    <w:rsid w:val="005C2240"/>
    <w:rsid w:val="005C37ED"/>
    <w:rsid w:val="005D5299"/>
    <w:rsid w:val="005D571F"/>
    <w:rsid w:val="005D63E1"/>
    <w:rsid w:val="005D7C9E"/>
    <w:rsid w:val="005E0C8C"/>
    <w:rsid w:val="005E0FDC"/>
    <w:rsid w:val="005E1939"/>
    <w:rsid w:val="005E3F7D"/>
    <w:rsid w:val="005E6181"/>
    <w:rsid w:val="005F51A3"/>
    <w:rsid w:val="00603198"/>
    <w:rsid w:val="006055DB"/>
    <w:rsid w:val="00605FDF"/>
    <w:rsid w:val="00613C04"/>
    <w:rsid w:val="00620C69"/>
    <w:rsid w:val="00620ED1"/>
    <w:rsid w:val="0062446F"/>
    <w:rsid w:val="006246C2"/>
    <w:rsid w:val="006334DA"/>
    <w:rsid w:val="0063527F"/>
    <w:rsid w:val="00635A1B"/>
    <w:rsid w:val="00637EC2"/>
    <w:rsid w:val="0064001D"/>
    <w:rsid w:val="00640367"/>
    <w:rsid w:val="00642467"/>
    <w:rsid w:val="0064291A"/>
    <w:rsid w:val="0064766B"/>
    <w:rsid w:val="00647E66"/>
    <w:rsid w:val="006506A1"/>
    <w:rsid w:val="00652627"/>
    <w:rsid w:val="006532F2"/>
    <w:rsid w:val="0065337F"/>
    <w:rsid w:val="00657ECD"/>
    <w:rsid w:val="00660884"/>
    <w:rsid w:val="0067766F"/>
    <w:rsid w:val="00680C47"/>
    <w:rsid w:val="00681D51"/>
    <w:rsid w:val="00684B96"/>
    <w:rsid w:val="006919FF"/>
    <w:rsid w:val="00692E68"/>
    <w:rsid w:val="00693FFE"/>
    <w:rsid w:val="006962BD"/>
    <w:rsid w:val="00696686"/>
    <w:rsid w:val="00696E51"/>
    <w:rsid w:val="006A6CA1"/>
    <w:rsid w:val="006B1901"/>
    <w:rsid w:val="006B4F25"/>
    <w:rsid w:val="006C3E8C"/>
    <w:rsid w:val="006C54DB"/>
    <w:rsid w:val="006C5541"/>
    <w:rsid w:val="006C5D84"/>
    <w:rsid w:val="006C7BE9"/>
    <w:rsid w:val="006D1202"/>
    <w:rsid w:val="006D327B"/>
    <w:rsid w:val="006D3817"/>
    <w:rsid w:val="006D7D5B"/>
    <w:rsid w:val="006E3F88"/>
    <w:rsid w:val="006E6B79"/>
    <w:rsid w:val="006E75B3"/>
    <w:rsid w:val="006E76B4"/>
    <w:rsid w:val="006F3C1C"/>
    <w:rsid w:val="007006A9"/>
    <w:rsid w:val="0070484D"/>
    <w:rsid w:val="0070638E"/>
    <w:rsid w:val="007107F4"/>
    <w:rsid w:val="00710C99"/>
    <w:rsid w:val="00711504"/>
    <w:rsid w:val="00712B50"/>
    <w:rsid w:val="0071486B"/>
    <w:rsid w:val="00715781"/>
    <w:rsid w:val="00717194"/>
    <w:rsid w:val="007209FC"/>
    <w:rsid w:val="00721465"/>
    <w:rsid w:val="00722A7B"/>
    <w:rsid w:val="00722D56"/>
    <w:rsid w:val="00723804"/>
    <w:rsid w:val="00724992"/>
    <w:rsid w:val="007257EC"/>
    <w:rsid w:val="0072592D"/>
    <w:rsid w:val="00730742"/>
    <w:rsid w:val="00732B4E"/>
    <w:rsid w:val="00733324"/>
    <w:rsid w:val="007340AF"/>
    <w:rsid w:val="00734619"/>
    <w:rsid w:val="0073490B"/>
    <w:rsid w:val="007369BA"/>
    <w:rsid w:val="007400D4"/>
    <w:rsid w:val="00741F9D"/>
    <w:rsid w:val="00745FCF"/>
    <w:rsid w:val="00752C48"/>
    <w:rsid w:val="00753367"/>
    <w:rsid w:val="0075564A"/>
    <w:rsid w:val="00755B89"/>
    <w:rsid w:val="0075671D"/>
    <w:rsid w:val="00756731"/>
    <w:rsid w:val="00760EB9"/>
    <w:rsid w:val="007615A8"/>
    <w:rsid w:val="00764E5C"/>
    <w:rsid w:val="00766983"/>
    <w:rsid w:val="00772C7F"/>
    <w:rsid w:val="00774136"/>
    <w:rsid w:val="0077482B"/>
    <w:rsid w:val="0077625A"/>
    <w:rsid w:val="007764AB"/>
    <w:rsid w:val="007809A7"/>
    <w:rsid w:val="007822EA"/>
    <w:rsid w:val="007844F1"/>
    <w:rsid w:val="007849D5"/>
    <w:rsid w:val="00793235"/>
    <w:rsid w:val="00795D9D"/>
    <w:rsid w:val="007A0089"/>
    <w:rsid w:val="007A20CD"/>
    <w:rsid w:val="007B07B3"/>
    <w:rsid w:val="007B170D"/>
    <w:rsid w:val="007B2D5B"/>
    <w:rsid w:val="007B394D"/>
    <w:rsid w:val="007B4CEB"/>
    <w:rsid w:val="007B6C4F"/>
    <w:rsid w:val="007C0742"/>
    <w:rsid w:val="007C2625"/>
    <w:rsid w:val="007C2816"/>
    <w:rsid w:val="007C35E2"/>
    <w:rsid w:val="007D03E3"/>
    <w:rsid w:val="007D060C"/>
    <w:rsid w:val="007D0E1E"/>
    <w:rsid w:val="007D27F7"/>
    <w:rsid w:val="007D3176"/>
    <w:rsid w:val="007D4AB3"/>
    <w:rsid w:val="007D4AEF"/>
    <w:rsid w:val="007D5D08"/>
    <w:rsid w:val="007D68B6"/>
    <w:rsid w:val="007D7893"/>
    <w:rsid w:val="007E6AD2"/>
    <w:rsid w:val="007F0CEE"/>
    <w:rsid w:val="007F0DF5"/>
    <w:rsid w:val="007F30F8"/>
    <w:rsid w:val="007F63DD"/>
    <w:rsid w:val="007F7D02"/>
    <w:rsid w:val="00802220"/>
    <w:rsid w:val="00805FDE"/>
    <w:rsid w:val="008069ED"/>
    <w:rsid w:val="008079B1"/>
    <w:rsid w:val="00811C75"/>
    <w:rsid w:val="0081204E"/>
    <w:rsid w:val="008162BE"/>
    <w:rsid w:val="00817329"/>
    <w:rsid w:val="00820E4E"/>
    <w:rsid w:val="00823C47"/>
    <w:rsid w:val="008242A6"/>
    <w:rsid w:val="00825828"/>
    <w:rsid w:val="00826FE2"/>
    <w:rsid w:val="00830678"/>
    <w:rsid w:val="00833397"/>
    <w:rsid w:val="00840184"/>
    <w:rsid w:val="00855A4B"/>
    <w:rsid w:val="00855EB5"/>
    <w:rsid w:val="008571AD"/>
    <w:rsid w:val="008606CB"/>
    <w:rsid w:val="00860FB7"/>
    <w:rsid w:val="008613CA"/>
    <w:rsid w:val="008624EC"/>
    <w:rsid w:val="00865F63"/>
    <w:rsid w:val="00874F29"/>
    <w:rsid w:val="00876912"/>
    <w:rsid w:val="0088029E"/>
    <w:rsid w:val="00880B24"/>
    <w:rsid w:val="008906E0"/>
    <w:rsid w:val="00892B91"/>
    <w:rsid w:val="008A03D2"/>
    <w:rsid w:val="008A0762"/>
    <w:rsid w:val="008A1BD4"/>
    <w:rsid w:val="008A1EE9"/>
    <w:rsid w:val="008A4317"/>
    <w:rsid w:val="008A7254"/>
    <w:rsid w:val="008B2A0D"/>
    <w:rsid w:val="008B4AE2"/>
    <w:rsid w:val="008B60F9"/>
    <w:rsid w:val="008B7D61"/>
    <w:rsid w:val="008C36D2"/>
    <w:rsid w:val="008C654C"/>
    <w:rsid w:val="008D06C2"/>
    <w:rsid w:val="008D08D1"/>
    <w:rsid w:val="008D1B91"/>
    <w:rsid w:val="008D3539"/>
    <w:rsid w:val="008D6674"/>
    <w:rsid w:val="008D68A0"/>
    <w:rsid w:val="008E5813"/>
    <w:rsid w:val="008F5C10"/>
    <w:rsid w:val="008F6836"/>
    <w:rsid w:val="008F75EF"/>
    <w:rsid w:val="009036D7"/>
    <w:rsid w:val="00920BB6"/>
    <w:rsid w:val="00920E9E"/>
    <w:rsid w:val="009238C0"/>
    <w:rsid w:val="00923D56"/>
    <w:rsid w:val="009243E8"/>
    <w:rsid w:val="00924A5E"/>
    <w:rsid w:val="0092518A"/>
    <w:rsid w:val="009256CC"/>
    <w:rsid w:val="00926179"/>
    <w:rsid w:val="009306DC"/>
    <w:rsid w:val="00932DE7"/>
    <w:rsid w:val="00933619"/>
    <w:rsid w:val="00933A3C"/>
    <w:rsid w:val="0093444B"/>
    <w:rsid w:val="00935A9C"/>
    <w:rsid w:val="00942FF1"/>
    <w:rsid w:val="00943077"/>
    <w:rsid w:val="00946E9A"/>
    <w:rsid w:val="009510E6"/>
    <w:rsid w:val="00956FCB"/>
    <w:rsid w:val="00960577"/>
    <w:rsid w:val="00964507"/>
    <w:rsid w:val="00965D98"/>
    <w:rsid w:val="0096641E"/>
    <w:rsid w:val="009668A9"/>
    <w:rsid w:val="009705FB"/>
    <w:rsid w:val="00970740"/>
    <w:rsid w:val="009708AD"/>
    <w:rsid w:val="0097146E"/>
    <w:rsid w:val="00973903"/>
    <w:rsid w:val="009743AD"/>
    <w:rsid w:val="00976019"/>
    <w:rsid w:val="00977661"/>
    <w:rsid w:val="00993DFE"/>
    <w:rsid w:val="00995F78"/>
    <w:rsid w:val="009964FB"/>
    <w:rsid w:val="009978D7"/>
    <w:rsid w:val="009A0140"/>
    <w:rsid w:val="009A2D6D"/>
    <w:rsid w:val="009A6A81"/>
    <w:rsid w:val="009B3605"/>
    <w:rsid w:val="009B4B53"/>
    <w:rsid w:val="009B72A5"/>
    <w:rsid w:val="009C0DCE"/>
    <w:rsid w:val="009C4B96"/>
    <w:rsid w:val="009C711B"/>
    <w:rsid w:val="009D1481"/>
    <w:rsid w:val="009D1F69"/>
    <w:rsid w:val="009D40B3"/>
    <w:rsid w:val="009D5D22"/>
    <w:rsid w:val="009D69D0"/>
    <w:rsid w:val="009D7305"/>
    <w:rsid w:val="009E17FC"/>
    <w:rsid w:val="009E1CE2"/>
    <w:rsid w:val="009E1DCE"/>
    <w:rsid w:val="009E2103"/>
    <w:rsid w:val="009E2D0C"/>
    <w:rsid w:val="009E4960"/>
    <w:rsid w:val="009E7699"/>
    <w:rsid w:val="009F0793"/>
    <w:rsid w:val="009F0A8B"/>
    <w:rsid w:val="009F3175"/>
    <w:rsid w:val="009F5CE1"/>
    <w:rsid w:val="009F5F29"/>
    <w:rsid w:val="00A03BC0"/>
    <w:rsid w:val="00A0443C"/>
    <w:rsid w:val="00A071C6"/>
    <w:rsid w:val="00A17C78"/>
    <w:rsid w:val="00A17D11"/>
    <w:rsid w:val="00A21786"/>
    <w:rsid w:val="00A2208B"/>
    <w:rsid w:val="00A2384C"/>
    <w:rsid w:val="00A24410"/>
    <w:rsid w:val="00A304EE"/>
    <w:rsid w:val="00A330E7"/>
    <w:rsid w:val="00A340A9"/>
    <w:rsid w:val="00A360D2"/>
    <w:rsid w:val="00A372A2"/>
    <w:rsid w:val="00A4136F"/>
    <w:rsid w:val="00A42B2B"/>
    <w:rsid w:val="00A43E73"/>
    <w:rsid w:val="00A4402D"/>
    <w:rsid w:val="00A4522A"/>
    <w:rsid w:val="00A46800"/>
    <w:rsid w:val="00A50A71"/>
    <w:rsid w:val="00A50CE6"/>
    <w:rsid w:val="00A54CE3"/>
    <w:rsid w:val="00A555A7"/>
    <w:rsid w:val="00A573A0"/>
    <w:rsid w:val="00A607C0"/>
    <w:rsid w:val="00A62538"/>
    <w:rsid w:val="00A6532A"/>
    <w:rsid w:val="00A711EA"/>
    <w:rsid w:val="00A720AA"/>
    <w:rsid w:val="00A75F87"/>
    <w:rsid w:val="00A81D31"/>
    <w:rsid w:val="00A909C0"/>
    <w:rsid w:val="00A92DEB"/>
    <w:rsid w:val="00A96F8E"/>
    <w:rsid w:val="00AA15FF"/>
    <w:rsid w:val="00AA2695"/>
    <w:rsid w:val="00AA61A4"/>
    <w:rsid w:val="00AB1BB7"/>
    <w:rsid w:val="00AB1DB7"/>
    <w:rsid w:val="00AB24FF"/>
    <w:rsid w:val="00AB315C"/>
    <w:rsid w:val="00AB354F"/>
    <w:rsid w:val="00AB7C7C"/>
    <w:rsid w:val="00AC2C9A"/>
    <w:rsid w:val="00AC5921"/>
    <w:rsid w:val="00AC62A1"/>
    <w:rsid w:val="00AC7482"/>
    <w:rsid w:val="00AD5249"/>
    <w:rsid w:val="00AD52FB"/>
    <w:rsid w:val="00AD5ACA"/>
    <w:rsid w:val="00AD74B7"/>
    <w:rsid w:val="00AE0131"/>
    <w:rsid w:val="00AE19FD"/>
    <w:rsid w:val="00AE3490"/>
    <w:rsid w:val="00AE5701"/>
    <w:rsid w:val="00AE7DB0"/>
    <w:rsid w:val="00AF0BC3"/>
    <w:rsid w:val="00AF3E00"/>
    <w:rsid w:val="00AF41B9"/>
    <w:rsid w:val="00AF42B0"/>
    <w:rsid w:val="00AF455A"/>
    <w:rsid w:val="00AF5F58"/>
    <w:rsid w:val="00AF7276"/>
    <w:rsid w:val="00B01F2E"/>
    <w:rsid w:val="00B02399"/>
    <w:rsid w:val="00B03489"/>
    <w:rsid w:val="00B06F0E"/>
    <w:rsid w:val="00B07242"/>
    <w:rsid w:val="00B10300"/>
    <w:rsid w:val="00B103A9"/>
    <w:rsid w:val="00B13677"/>
    <w:rsid w:val="00B15141"/>
    <w:rsid w:val="00B1635C"/>
    <w:rsid w:val="00B22347"/>
    <w:rsid w:val="00B242A0"/>
    <w:rsid w:val="00B30FFE"/>
    <w:rsid w:val="00B37FE3"/>
    <w:rsid w:val="00B40036"/>
    <w:rsid w:val="00B43BA7"/>
    <w:rsid w:val="00B44C12"/>
    <w:rsid w:val="00B50FE0"/>
    <w:rsid w:val="00B62A5B"/>
    <w:rsid w:val="00B6437D"/>
    <w:rsid w:val="00B6499B"/>
    <w:rsid w:val="00B67093"/>
    <w:rsid w:val="00B67391"/>
    <w:rsid w:val="00B7029D"/>
    <w:rsid w:val="00B7082D"/>
    <w:rsid w:val="00B76B68"/>
    <w:rsid w:val="00B8476F"/>
    <w:rsid w:val="00B85D03"/>
    <w:rsid w:val="00B86BF9"/>
    <w:rsid w:val="00B874E4"/>
    <w:rsid w:val="00B87EF4"/>
    <w:rsid w:val="00B9053A"/>
    <w:rsid w:val="00B90950"/>
    <w:rsid w:val="00B94851"/>
    <w:rsid w:val="00B95C96"/>
    <w:rsid w:val="00BA1B30"/>
    <w:rsid w:val="00BA252A"/>
    <w:rsid w:val="00BA616F"/>
    <w:rsid w:val="00BB276A"/>
    <w:rsid w:val="00BB5954"/>
    <w:rsid w:val="00BB664D"/>
    <w:rsid w:val="00BC0E90"/>
    <w:rsid w:val="00BC3727"/>
    <w:rsid w:val="00BC6345"/>
    <w:rsid w:val="00BC710D"/>
    <w:rsid w:val="00BD16E9"/>
    <w:rsid w:val="00BD3BEF"/>
    <w:rsid w:val="00BD6F0D"/>
    <w:rsid w:val="00BD782D"/>
    <w:rsid w:val="00BE29B3"/>
    <w:rsid w:val="00BE36E7"/>
    <w:rsid w:val="00BE67A5"/>
    <w:rsid w:val="00BF08D7"/>
    <w:rsid w:val="00BF78BC"/>
    <w:rsid w:val="00C15741"/>
    <w:rsid w:val="00C16D83"/>
    <w:rsid w:val="00C17834"/>
    <w:rsid w:val="00C200ED"/>
    <w:rsid w:val="00C2026A"/>
    <w:rsid w:val="00C21095"/>
    <w:rsid w:val="00C217E5"/>
    <w:rsid w:val="00C22959"/>
    <w:rsid w:val="00C23E57"/>
    <w:rsid w:val="00C2533A"/>
    <w:rsid w:val="00C339C6"/>
    <w:rsid w:val="00C35C4A"/>
    <w:rsid w:val="00C40B7A"/>
    <w:rsid w:val="00C414F1"/>
    <w:rsid w:val="00C4409B"/>
    <w:rsid w:val="00C44399"/>
    <w:rsid w:val="00C4744A"/>
    <w:rsid w:val="00C4747E"/>
    <w:rsid w:val="00C5152F"/>
    <w:rsid w:val="00C559BE"/>
    <w:rsid w:val="00C5617F"/>
    <w:rsid w:val="00C569C7"/>
    <w:rsid w:val="00C613FA"/>
    <w:rsid w:val="00C61D5F"/>
    <w:rsid w:val="00C63622"/>
    <w:rsid w:val="00C64C85"/>
    <w:rsid w:val="00C65BF9"/>
    <w:rsid w:val="00C6670B"/>
    <w:rsid w:val="00C76D5F"/>
    <w:rsid w:val="00C81EB7"/>
    <w:rsid w:val="00C854D8"/>
    <w:rsid w:val="00C87C21"/>
    <w:rsid w:val="00C90874"/>
    <w:rsid w:val="00C909F3"/>
    <w:rsid w:val="00C92B90"/>
    <w:rsid w:val="00C93D2C"/>
    <w:rsid w:val="00C944BB"/>
    <w:rsid w:val="00C94A30"/>
    <w:rsid w:val="00C953C4"/>
    <w:rsid w:val="00C968C9"/>
    <w:rsid w:val="00CA43E5"/>
    <w:rsid w:val="00CA48EC"/>
    <w:rsid w:val="00CA4A6A"/>
    <w:rsid w:val="00CA5691"/>
    <w:rsid w:val="00CA5E87"/>
    <w:rsid w:val="00CA71B1"/>
    <w:rsid w:val="00CB21E2"/>
    <w:rsid w:val="00CB2AA7"/>
    <w:rsid w:val="00CB70B4"/>
    <w:rsid w:val="00CB7C91"/>
    <w:rsid w:val="00CC0BBA"/>
    <w:rsid w:val="00CC2DD5"/>
    <w:rsid w:val="00CC2E9F"/>
    <w:rsid w:val="00CC6559"/>
    <w:rsid w:val="00CC776A"/>
    <w:rsid w:val="00CD00AE"/>
    <w:rsid w:val="00CD1FE5"/>
    <w:rsid w:val="00CD2393"/>
    <w:rsid w:val="00CD29CB"/>
    <w:rsid w:val="00CE0048"/>
    <w:rsid w:val="00CE0B42"/>
    <w:rsid w:val="00CE43C3"/>
    <w:rsid w:val="00CE5EEA"/>
    <w:rsid w:val="00CE6C51"/>
    <w:rsid w:val="00CF01E6"/>
    <w:rsid w:val="00CF0979"/>
    <w:rsid w:val="00CF2A21"/>
    <w:rsid w:val="00CF4533"/>
    <w:rsid w:val="00CF46C3"/>
    <w:rsid w:val="00CF5D2D"/>
    <w:rsid w:val="00CF69D2"/>
    <w:rsid w:val="00CF6DCA"/>
    <w:rsid w:val="00D0114F"/>
    <w:rsid w:val="00D01842"/>
    <w:rsid w:val="00D02448"/>
    <w:rsid w:val="00D03026"/>
    <w:rsid w:val="00D03769"/>
    <w:rsid w:val="00D03C5A"/>
    <w:rsid w:val="00D0423C"/>
    <w:rsid w:val="00D05BF1"/>
    <w:rsid w:val="00D1146D"/>
    <w:rsid w:val="00D1229A"/>
    <w:rsid w:val="00D1626E"/>
    <w:rsid w:val="00D16EE7"/>
    <w:rsid w:val="00D20429"/>
    <w:rsid w:val="00D2157B"/>
    <w:rsid w:val="00D21A7B"/>
    <w:rsid w:val="00D21D2A"/>
    <w:rsid w:val="00D22EF5"/>
    <w:rsid w:val="00D268AF"/>
    <w:rsid w:val="00D26B00"/>
    <w:rsid w:val="00D27E54"/>
    <w:rsid w:val="00D311CC"/>
    <w:rsid w:val="00D33546"/>
    <w:rsid w:val="00D33827"/>
    <w:rsid w:val="00D341EE"/>
    <w:rsid w:val="00D3569F"/>
    <w:rsid w:val="00D35A57"/>
    <w:rsid w:val="00D366EB"/>
    <w:rsid w:val="00D413FD"/>
    <w:rsid w:val="00D425C7"/>
    <w:rsid w:val="00D438BE"/>
    <w:rsid w:val="00D50C12"/>
    <w:rsid w:val="00D51D79"/>
    <w:rsid w:val="00D5498D"/>
    <w:rsid w:val="00D61A76"/>
    <w:rsid w:val="00D65CDC"/>
    <w:rsid w:val="00D67F1F"/>
    <w:rsid w:val="00D71FA0"/>
    <w:rsid w:val="00D75412"/>
    <w:rsid w:val="00D771C7"/>
    <w:rsid w:val="00D800FB"/>
    <w:rsid w:val="00D80C39"/>
    <w:rsid w:val="00D8290C"/>
    <w:rsid w:val="00D87479"/>
    <w:rsid w:val="00D87F17"/>
    <w:rsid w:val="00D90168"/>
    <w:rsid w:val="00D94008"/>
    <w:rsid w:val="00DA023C"/>
    <w:rsid w:val="00DB1840"/>
    <w:rsid w:val="00DB6384"/>
    <w:rsid w:val="00DB684F"/>
    <w:rsid w:val="00DC12A0"/>
    <w:rsid w:val="00DC1373"/>
    <w:rsid w:val="00DC468E"/>
    <w:rsid w:val="00DC5442"/>
    <w:rsid w:val="00DC58D7"/>
    <w:rsid w:val="00DC79D2"/>
    <w:rsid w:val="00DC7F93"/>
    <w:rsid w:val="00DD0588"/>
    <w:rsid w:val="00DD0851"/>
    <w:rsid w:val="00DD2F02"/>
    <w:rsid w:val="00DD5700"/>
    <w:rsid w:val="00DD5AD8"/>
    <w:rsid w:val="00DD6700"/>
    <w:rsid w:val="00DE002D"/>
    <w:rsid w:val="00DE113C"/>
    <w:rsid w:val="00DE13F7"/>
    <w:rsid w:val="00DE16CF"/>
    <w:rsid w:val="00DE1929"/>
    <w:rsid w:val="00DE2CF7"/>
    <w:rsid w:val="00DE3957"/>
    <w:rsid w:val="00DE5526"/>
    <w:rsid w:val="00DE55E5"/>
    <w:rsid w:val="00DE711C"/>
    <w:rsid w:val="00DE7CD8"/>
    <w:rsid w:val="00DE7F6B"/>
    <w:rsid w:val="00DF6898"/>
    <w:rsid w:val="00DF6CCA"/>
    <w:rsid w:val="00E00F0B"/>
    <w:rsid w:val="00E0261E"/>
    <w:rsid w:val="00E0478F"/>
    <w:rsid w:val="00E10812"/>
    <w:rsid w:val="00E111D7"/>
    <w:rsid w:val="00E11846"/>
    <w:rsid w:val="00E13198"/>
    <w:rsid w:val="00E14B8C"/>
    <w:rsid w:val="00E15EA1"/>
    <w:rsid w:val="00E16FC5"/>
    <w:rsid w:val="00E17D8D"/>
    <w:rsid w:val="00E203D6"/>
    <w:rsid w:val="00E2118D"/>
    <w:rsid w:val="00E23821"/>
    <w:rsid w:val="00E2444F"/>
    <w:rsid w:val="00E31BCD"/>
    <w:rsid w:val="00E33B4E"/>
    <w:rsid w:val="00E37523"/>
    <w:rsid w:val="00E37854"/>
    <w:rsid w:val="00E40D70"/>
    <w:rsid w:val="00E4212F"/>
    <w:rsid w:val="00E4216E"/>
    <w:rsid w:val="00E43F08"/>
    <w:rsid w:val="00E44500"/>
    <w:rsid w:val="00E463FE"/>
    <w:rsid w:val="00E52D05"/>
    <w:rsid w:val="00E54E4D"/>
    <w:rsid w:val="00E56934"/>
    <w:rsid w:val="00E60637"/>
    <w:rsid w:val="00E648FB"/>
    <w:rsid w:val="00E67E1B"/>
    <w:rsid w:val="00E70C53"/>
    <w:rsid w:val="00E71CF1"/>
    <w:rsid w:val="00E723F1"/>
    <w:rsid w:val="00E76C19"/>
    <w:rsid w:val="00E85C7D"/>
    <w:rsid w:val="00E86090"/>
    <w:rsid w:val="00E87819"/>
    <w:rsid w:val="00E9238D"/>
    <w:rsid w:val="00E95765"/>
    <w:rsid w:val="00EA3621"/>
    <w:rsid w:val="00EA5840"/>
    <w:rsid w:val="00EA5CE9"/>
    <w:rsid w:val="00EA63D0"/>
    <w:rsid w:val="00EB059B"/>
    <w:rsid w:val="00EB59C9"/>
    <w:rsid w:val="00EB718E"/>
    <w:rsid w:val="00EC3A9B"/>
    <w:rsid w:val="00EC4CD8"/>
    <w:rsid w:val="00EC5AD8"/>
    <w:rsid w:val="00ED08B2"/>
    <w:rsid w:val="00ED7595"/>
    <w:rsid w:val="00EE0995"/>
    <w:rsid w:val="00EE46F0"/>
    <w:rsid w:val="00EE7857"/>
    <w:rsid w:val="00F00BE4"/>
    <w:rsid w:val="00F01B08"/>
    <w:rsid w:val="00F01B3A"/>
    <w:rsid w:val="00F02AEA"/>
    <w:rsid w:val="00F155F2"/>
    <w:rsid w:val="00F25AFB"/>
    <w:rsid w:val="00F31285"/>
    <w:rsid w:val="00F31FB0"/>
    <w:rsid w:val="00F325C9"/>
    <w:rsid w:val="00F3280B"/>
    <w:rsid w:val="00F32DB7"/>
    <w:rsid w:val="00F349D0"/>
    <w:rsid w:val="00F3525F"/>
    <w:rsid w:val="00F372EB"/>
    <w:rsid w:val="00F37A93"/>
    <w:rsid w:val="00F37BF2"/>
    <w:rsid w:val="00F37ECC"/>
    <w:rsid w:val="00F40CC3"/>
    <w:rsid w:val="00F43CF6"/>
    <w:rsid w:val="00F44907"/>
    <w:rsid w:val="00F4581A"/>
    <w:rsid w:val="00F47DBE"/>
    <w:rsid w:val="00F528E0"/>
    <w:rsid w:val="00F53989"/>
    <w:rsid w:val="00F55C4F"/>
    <w:rsid w:val="00F565C7"/>
    <w:rsid w:val="00F57C00"/>
    <w:rsid w:val="00F61CEC"/>
    <w:rsid w:val="00F6261B"/>
    <w:rsid w:val="00F628FA"/>
    <w:rsid w:val="00F638BD"/>
    <w:rsid w:val="00F63CAD"/>
    <w:rsid w:val="00F729C5"/>
    <w:rsid w:val="00F7305B"/>
    <w:rsid w:val="00F73F90"/>
    <w:rsid w:val="00F74971"/>
    <w:rsid w:val="00F76F31"/>
    <w:rsid w:val="00F77AFE"/>
    <w:rsid w:val="00F82096"/>
    <w:rsid w:val="00F82FAA"/>
    <w:rsid w:val="00F84026"/>
    <w:rsid w:val="00F84EA3"/>
    <w:rsid w:val="00F86A9A"/>
    <w:rsid w:val="00F91D8E"/>
    <w:rsid w:val="00F94D63"/>
    <w:rsid w:val="00F963E1"/>
    <w:rsid w:val="00FA1A1B"/>
    <w:rsid w:val="00FA32D2"/>
    <w:rsid w:val="00FA48E8"/>
    <w:rsid w:val="00FA7941"/>
    <w:rsid w:val="00FB0582"/>
    <w:rsid w:val="00FB29A6"/>
    <w:rsid w:val="00FB5970"/>
    <w:rsid w:val="00FB6E98"/>
    <w:rsid w:val="00FC0FB8"/>
    <w:rsid w:val="00FE2E18"/>
    <w:rsid w:val="00FF405D"/>
    <w:rsid w:val="00FF4E3A"/>
    <w:rsid w:val="00FF5A20"/>
    <w:rsid w:val="00FF735D"/>
    <w:rsid w:val="00FF7567"/>
    <w:rsid w:val="07FD9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E07D"/>
  <w15:chartTrackingRefBased/>
  <w15:docId w15:val="{E84E9CA1-A9E5-4EAF-AD2D-F403FF54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981"/>
    <w:pPr>
      <w:ind w:left="720"/>
      <w:contextualSpacing/>
    </w:pPr>
  </w:style>
  <w:style w:type="character" w:customStyle="1" w:styleId="fontstyle01">
    <w:name w:val="fontstyle01"/>
    <w:basedOn w:val="DefaultParagraphFont"/>
    <w:rsid w:val="006C5D8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FootnoteText">
    <w:name w:val="footnote text"/>
    <w:link w:val="FootnoteTextChar"/>
    <w:autoRedefine/>
    <w:qFormat/>
    <w:rsid w:val="00352E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Calibri" w:hAnsi="Calibri" w:cs="Arial"/>
      <w:noProof/>
      <w:color w:val="000000" w:themeColor="text1"/>
      <w:sz w:val="16"/>
      <w:szCs w:val="16"/>
      <w:u w:color="000000"/>
      <w:bdr w:val="nil"/>
      <w:lang w:val="hr-HR"/>
    </w:rPr>
  </w:style>
  <w:style w:type="character" w:customStyle="1" w:styleId="FootnoteTextChar">
    <w:name w:val="Footnote Text Char"/>
    <w:basedOn w:val="DefaultParagraphFont"/>
    <w:link w:val="FootnoteText"/>
    <w:rsid w:val="00352EBE"/>
    <w:rPr>
      <w:rFonts w:ascii="Calibri" w:eastAsia="Calibri" w:hAnsi="Calibri" w:cs="Arial"/>
      <w:noProof/>
      <w:color w:val="000000" w:themeColor="text1"/>
      <w:sz w:val="16"/>
      <w:szCs w:val="16"/>
      <w:u w:color="000000"/>
      <w:bdr w:val="nil"/>
      <w:lang w:val="hr-HR"/>
    </w:rPr>
  </w:style>
  <w:style w:type="character" w:styleId="FootnoteReference">
    <w:name w:val="footnote reference"/>
    <w:aliases w:val="16 Point,Superscript 6 Point,Superscript 6 Point + 11 pt,ftref,Footnote text,Ref. de nota al pie1,Footnote Reference Number,Ref,de nota al pie,Footnote symbol,Знак сноски-FN,Footnote Reference Superscript,Footnote Reference_LVL6,BVI f"/>
    <w:basedOn w:val="DefaultParagraphFont"/>
    <w:unhideWhenUsed/>
    <w:qFormat/>
    <w:rsid w:val="00352EBE"/>
    <w:rPr>
      <w:rFonts w:ascii="Calibri" w:hAnsi="Calibri"/>
      <w:b w:val="0"/>
      <w:bCs w:val="0"/>
      <w:i w:val="0"/>
      <w:iCs w:val="0"/>
      <w:caps w:val="0"/>
      <w:smallCaps w:val="0"/>
      <w:strike w:val="0"/>
      <w:dstrike w:val="0"/>
      <w:vanish w:val="0"/>
      <w:sz w:val="16"/>
      <w:szCs w:val="16"/>
      <w:vertAlign w:val="superscript"/>
    </w:rPr>
  </w:style>
  <w:style w:type="character" w:customStyle="1" w:styleId="fontstyle21">
    <w:name w:val="fontstyle21"/>
    <w:basedOn w:val="DefaultParagraphFont"/>
    <w:rsid w:val="00250AEB"/>
    <w:rPr>
      <w:rFonts w:ascii="Symbol" w:hAnsi="Symbol" w:hint="default"/>
      <w:b w:val="0"/>
      <w:bCs w:val="0"/>
      <w:i w:val="0"/>
      <w:iCs w:val="0"/>
      <w:color w:val="00808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663D2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63D2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7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20C"/>
  </w:style>
  <w:style w:type="paragraph" w:styleId="Footer">
    <w:name w:val="footer"/>
    <w:basedOn w:val="Normal"/>
    <w:link w:val="FooterChar"/>
    <w:uiPriority w:val="99"/>
    <w:unhideWhenUsed/>
    <w:rsid w:val="003A7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0C"/>
  </w:style>
  <w:style w:type="character" w:styleId="CommentReference">
    <w:name w:val="annotation reference"/>
    <w:basedOn w:val="DefaultParagraphFont"/>
    <w:uiPriority w:val="99"/>
    <w:semiHidden/>
    <w:unhideWhenUsed/>
    <w:rsid w:val="00CB7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0B4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3221"/>
    <w:pPr>
      <w:spacing w:after="0" w:line="240" w:lineRule="auto"/>
    </w:pPr>
    <w:rPr>
      <w:rFonts w:eastAsiaTheme="minorEastAsia"/>
      <w:sz w:val="24"/>
      <w:szCs w:val="24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5F2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2B2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331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FF"/>
    <w:pPr>
      <w:spacing w:after="160"/>
    </w:pPr>
    <w:rPr>
      <w:rFonts w:asciiTheme="minorHAnsi" w:eastAsiaTheme="minorHAnsi" w:hAnsiTheme="minorHAnsi" w:cstheme="minorBidi"/>
      <w:b/>
      <w:bCs/>
      <w:lang w:val="sr-Latn-R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5FF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balkangreenenergynews.com/rs/na-sta-su-se-zemlje-zapadnog-balkana-obavezale-potpisivanjem-sofijske-deklaracije-o-zelenoj-agend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pa.gov.rs/wp-content/uploads/2024/12/ZivotnaSredina202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mailto:ippczakon@eko.gov.r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RS"/>
              <a:t>Министарство заштите животне средине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Sheet1!$A$13:$A$14</c:f>
              <c:strCache>
                <c:ptCount val="2"/>
                <c:pt idx="0">
                  <c:v>2011-2019</c:v>
                </c:pt>
                <c:pt idx="1">
                  <c:v>2020-2024</c:v>
                </c:pt>
              </c:strCache>
            </c:strRef>
          </c:cat>
          <c:val>
            <c:numRef>
              <c:f>Sheet1!$B$13:$B$14</c:f>
              <c:numCache>
                <c:formatCode>General</c:formatCode>
                <c:ptCount val="2"/>
                <c:pt idx="0">
                  <c:v>2.11</c:v>
                </c:pt>
                <c:pt idx="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EF-4C52-9D07-F1571A52BE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848239"/>
        <c:axId val="56848719"/>
      </c:barChart>
      <c:catAx>
        <c:axId val="56848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848719"/>
        <c:crosses val="autoZero"/>
        <c:auto val="1"/>
        <c:lblAlgn val="ctr"/>
        <c:lblOffset val="100"/>
        <c:noMultiLvlLbl val="0"/>
      </c:catAx>
      <c:valAx>
        <c:axId val="568487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848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RS"/>
              <a:t>Аутономна покрајина Војводина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Sheet1!$A$17:$A$18</c:f>
              <c:strCache>
                <c:ptCount val="2"/>
                <c:pt idx="0">
                  <c:v>2011-2019</c:v>
                </c:pt>
                <c:pt idx="1">
                  <c:v>2020-2024</c:v>
                </c:pt>
              </c:strCache>
            </c:strRef>
          </c:cat>
          <c:val>
            <c:numRef>
              <c:f>Sheet1!$B$17:$B$18</c:f>
              <c:numCache>
                <c:formatCode>General</c:formatCode>
                <c:ptCount val="2"/>
                <c:pt idx="0">
                  <c:v>1.33</c:v>
                </c:pt>
                <c:pt idx="1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81-479A-8C82-DC5C088AFA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87037135"/>
        <c:axId val="1887037615"/>
      </c:barChart>
      <c:catAx>
        <c:axId val="1887037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87037615"/>
        <c:crosses val="autoZero"/>
        <c:auto val="1"/>
        <c:lblAlgn val="ctr"/>
        <c:lblOffset val="100"/>
        <c:noMultiLvlLbl val="0"/>
      </c:catAx>
      <c:valAx>
        <c:axId val="1887037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870371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RS"/>
              <a:t>Јединице локалне самоуправе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Sheet1!$A$21:$A$22</c:f>
              <c:strCache>
                <c:ptCount val="2"/>
                <c:pt idx="0">
                  <c:v>2011-2019</c:v>
                </c:pt>
                <c:pt idx="1">
                  <c:v>2020-2024</c:v>
                </c:pt>
              </c:strCache>
            </c:strRef>
          </c:cat>
          <c:val>
            <c:numRef>
              <c:f>Sheet1!$B$21:$B$22</c:f>
              <c:numCache>
                <c:formatCode>General</c:formatCode>
                <c:ptCount val="2"/>
                <c:pt idx="0">
                  <c:v>1</c:v>
                </c:pt>
                <c:pt idx="1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A-42BC-94C1-C4597D48A2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8806367"/>
        <c:axId val="1988803487"/>
      </c:barChart>
      <c:catAx>
        <c:axId val="1988806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988803487"/>
        <c:crosses val="autoZero"/>
        <c:auto val="1"/>
        <c:lblAlgn val="ctr"/>
        <c:lblOffset val="100"/>
        <c:noMultiLvlLbl val="0"/>
      </c:catAx>
      <c:valAx>
        <c:axId val="1988803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9888063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RS"/>
              <a:t>На нивоу Републике Србије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Sheet1!$E$13:$E$14</c:f>
              <c:strCache>
                <c:ptCount val="2"/>
                <c:pt idx="0">
                  <c:v>2011-2019</c:v>
                </c:pt>
                <c:pt idx="1">
                  <c:v>2020-2024</c:v>
                </c:pt>
              </c:strCache>
            </c:strRef>
          </c:cat>
          <c:val>
            <c:numRef>
              <c:f>Sheet1!$F$13:$F$14</c:f>
              <c:numCache>
                <c:formatCode>General</c:formatCode>
                <c:ptCount val="2"/>
                <c:pt idx="0">
                  <c:v>4.4400000000000004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37-48C0-B8A7-A8307DC649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592895"/>
        <c:axId val="145599615"/>
      </c:barChart>
      <c:catAx>
        <c:axId val="1455928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5599615"/>
        <c:crosses val="autoZero"/>
        <c:auto val="1"/>
        <c:lblAlgn val="ctr"/>
        <c:lblOffset val="100"/>
        <c:noMultiLvlLbl val="0"/>
      </c:catAx>
      <c:valAx>
        <c:axId val="145599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55928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B69B5-B018-44AB-9DA2-12765347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4446</Words>
  <Characters>25346</Characters>
  <Application>Microsoft Office Word</Application>
  <DocSecurity>4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29733</CharactersWithSpaces>
  <SharedDoc>false</SharedDoc>
  <HLinks>
    <vt:vector size="18" baseType="variant">
      <vt:variant>
        <vt:i4>7143443</vt:i4>
      </vt:variant>
      <vt:variant>
        <vt:i4>6</vt:i4>
      </vt:variant>
      <vt:variant>
        <vt:i4>0</vt:i4>
      </vt:variant>
      <vt:variant>
        <vt:i4>5</vt:i4>
      </vt:variant>
      <vt:variant>
        <vt:lpwstr>mailto:ippczakon@eko.gov.rs</vt:lpwstr>
      </vt:variant>
      <vt:variant>
        <vt:lpwstr/>
      </vt:variant>
      <vt:variant>
        <vt:i4>720920</vt:i4>
      </vt:variant>
      <vt:variant>
        <vt:i4>3</vt:i4>
      </vt:variant>
      <vt:variant>
        <vt:i4>0</vt:i4>
      </vt:variant>
      <vt:variant>
        <vt:i4>5</vt:i4>
      </vt:variant>
      <vt:variant>
        <vt:lpwstr>https://balkangreenenergynews.com/rs/na-sta-su-se-zemlje-zapadnog-balkana-obavezale-potpisivanjem-sofijske-deklaracije-o-zelenoj-agendi/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https://sepa.gov.rs/wp-content/uploads/2024/12/ZivotnaSredina2023.pdf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Snežana Marković</cp:lastModifiedBy>
  <cp:revision>2</cp:revision>
  <cp:lastPrinted>2025-02-08T03:40:00Z</cp:lastPrinted>
  <dcterms:created xsi:type="dcterms:W3CDTF">2025-02-07T17:22:00Z</dcterms:created>
  <dcterms:modified xsi:type="dcterms:W3CDTF">2025-02-07T17:22:00Z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-1581963418</vt:i4>
  </property>
</Properties>
</file>