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5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2419"/>
        <w:gridCol w:w="3145"/>
      </w:tblGrid>
      <w:tr w:rsidR="001F7925" w:rsidRPr="00AA61FA" w14:paraId="0DB1E3BC" w14:textId="77777777" w:rsidTr="00874803">
        <w:trPr>
          <w:trHeight w:val="3469"/>
        </w:trPr>
        <w:tc>
          <w:tcPr>
            <w:tcW w:w="4071" w:type="dxa"/>
          </w:tcPr>
          <w:p w14:paraId="668C6A1A" w14:textId="77777777" w:rsidR="001F7925" w:rsidRPr="00B26FDF" w:rsidRDefault="001F7925" w:rsidP="001F792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FD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F9A4924" wp14:editId="0CF4D2FB">
                  <wp:extent cx="600710" cy="901065"/>
                  <wp:effectExtent l="0" t="0" r="8890" b="0"/>
                  <wp:docPr id="1" name="Picture 1" descr="http://www.parlament.gov.rs/upload/images/content/amblems/mali-grb-kolor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rlament.gov.rs/upload/images/content/amblems/mali-grb-kolor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CF50CC" w14:textId="77777777" w:rsidR="001F7925" w:rsidRPr="00BD6791" w:rsidRDefault="001F7925" w:rsidP="000B3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67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14:paraId="335B646C" w14:textId="77777777" w:rsidR="001F7925" w:rsidRPr="00AA61FA" w:rsidRDefault="001F7925" w:rsidP="000B3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A61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МИНИСТАРСТВО</w:t>
            </w:r>
          </w:p>
          <w:p w14:paraId="5428538E" w14:textId="77777777" w:rsidR="001F7925" w:rsidRPr="00AA61FA" w:rsidRDefault="001F7925" w:rsidP="000B3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ЗАШТИТЕ ЖИВОТНЕ СРЕДИНЕ</w:t>
            </w:r>
          </w:p>
          <w:p w14:paraId="2A1A6400" w14:textId="77777777" w:rsidR="001F7925" w:rsidRPr="00BD6791" w:rsidRDefault="001F7925" w:rsidP="00B26FDF">
            <w:pPr>
              <w:ind w:left="63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A61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Број:</w:t>
            </w:r>
            <w:r w:rsidR="00013251" w:rsidRPr="00AA61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353</w:t>
            </w:r>
            <w:r w:rsidR="00013251" w:rsidRPr="00AA61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-01-00</w:t>
            </w:r>
            <w:r w:rsidR="0056298C" w:rsidRPr="00AA61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13251" w:rsidRPr="00AA61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</w:t>
            </w:r>
            <w:r w:rsidR="00013251" w:rsidRPr="00B26F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="00AA61FA" w:rsidRPr="00B26F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</w:t>
            </w:r>
            <w:r w:rsidR="00013251" w:rsidRPr="00BD6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2012-05</w:t>
            </w:r>
          </w:p>
          <w:p w14:paraId="517B1FAD" w14:textId="1A632BD8" w:rsidR="001F7925" w:rsidRPr="00AA61FA" w:rsidRDefault="001F7925" w:rsidP="000B37FF">
            <w:pPr>
              <w:ind w:left="63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A61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</w:t>
            </w:r>
            <w:r w:rsidRPr="00AA61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26FDF"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  <w:r w:rsidR="00013251" w:rsidRPr="00AA61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2022.</w:t>
            </w:r>
            <w:r w:rsidR="00117540" w:rsidRPr="00AA61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год.</w:t>
            </w:r>
          </w:p>
          <w:p w14:paraId="7B7B1B37" w14:textId="77777777" w:rsidR="001F7925" w:rsidRPr="00AA61FA" w:rsidRDefault="001F7925" w:rsidP="000B3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A61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14:paraId="3CD01859" w14:textId="77777777" w:rsidR="001F7925" w:rsidRPr="00B26FDF" w:rsidRDefault="001F7925" w:rsidP="000B37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2419" w:type="dxa"/>
          </w:tcPr>
          <w:p w14:paraId="1642E27B" w14:textId="77777777" w:rsidR="001F7925" w:rsidRPr="00B26FDF" w:rsidRDefault="001F79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1EF73B7D" w14:textId="77777777" w:rsidR="001F7925" w:rsidRPr="00B26FDF" w:rsidRDefault="001F79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7A550C" w14:textId="77777777" w:rsidR="00511315" w:rsidRPr="00BD6791" w:rsidRDefault="00511315" w:rsidP="00874803">
      <w:pPr>
        <w:spacing w:after="0"/>
        <w:ind w:left="-288" w:right="-288"/>
        <w:rPr>
          <w:rFonts w:ascii="Times New Roman" w:hAnsi="Times New Roman" w:cs="Times New Roman"/>
          <w:sz w:val="24"/>
          <w:szCs w:val="24"/>
        </w:rPr>
      </w:pPr>
    </w:p>
    <w:p w14:paraId="7C1D9E93" w14:textId="77777777" w:rsidR="000360AB" w:rsidRPr="00B26FDF" w:rsidRDefault="000360AB" w:rsidP="00036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75958ED" w14:textId="77777777" w:rsidR="000B37FF" w:rsidRPr="00B26FDF" w:rsidRDefault="000B37FF" w:rsidP="000360AB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59B548C0" w14:textId="77777777" w:rsidR="000B37FF" w:rsidRPr="00B26FDF" w:rsidRDefault="000B37FF" w:rsidP="000360AB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1AB4C0A0" w14:textId="77777777" w:rsidR="000B37FF" w:rsidRPr="00B26FDF" w:rsidRDefault="000B37FF" w:rsidP="000360AB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1234459B" w14:textId="77777777" w:rsidR="000B37FF" w:rsidRPr="00B26FDF" w:rsidRDefault="000B37FF" w:rsidP="000360AB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7A5EF6B0" w14:textId="2E5609BA" w:rsidR="000B37FF" w:rsidRPr="00AA61FA" w:rsidRDefault="007C35E6" w:rsidP="00340219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На основу члана 20. став 1</w:t>
      </w:r>
      <w:r w:rsidR="002556C6" w:rsidRPr="00BD6791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2556C6" w:rsidRPr="00B26FDF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интегрисаном спречавању и контроли загађивања животне средине (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„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sr-Cyrl-RS"/>
        </w:rPr>
        <w:t>Службени гласник РС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”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sr-Cyrl-RS"/>
        </w:rPr>
        <w:t>, бр.135/04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sr-Cyrl-RS"/>
        </w:rPr>
        <w:t xml:space="preserve">25/15 и 109/2021), члана 213. став 1. Закона о општем управном поступку </w:t>
      </w:r>
      <w:r w:rsidR="002556C6" w:rsidRPr="00B26FD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„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sr-Cyrl-RS"/>
        </w:rPr>
        <w:t>Службени гласник РС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”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sr-Cyrl-RS"/>
        </w:rPr>
        <w:t>,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en-US"/>
        </w:rPr>
        <w:t xml:space="preserve"> 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sr-Cyrl-RS"/>
        </w:rPr>
        <w:t>бр.18/16 и 95/18 – аутентично тумачење), члана 2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4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sr-Cyrl-RS"/>
        </w:rPr>
        <w:t xml:space="preserve">. став 2. Закона о државној управи </w:t>
      </w:r>
      <w:r w:rsidR="002556C6" w:rsidRPr="00B26FD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„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sr-Cyrl-RS"/>
        </w:rPr>
        <w:t>Службени гласник РС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”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sr-Cyrl-RS"/>
        </w:rPr>
        <w:t xml:space="preserve">,бр. 79/05, 101/07, 95/10, 47/18 и 30/18 – др. закон), члана 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en-US"/>
        </w:rPr>
        <w:t>6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sr-Cyrl-RS"/>
        </w:rPr>
        <w:t xml:space="preserve">. Закона о министарствима </w:t>
      </w:r>
      <w:r w:rsidR="002556C6" w:rsidRPr="00B26FD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„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sr-Cyrl-RS"/>
        </w:rPr>
        <w:t>Службени гласник РС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”</w:t>
      </w:r>
      <w:r w:rsidR="002556C6" w:rsidRPr="00B26F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sr-Cyrl-RS"/>
        </w:rPr>
        <w:t>, бр.128/2020)</w:t>
      </w:r>
      <w:r w:rsidR="00340219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2556C6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поступајући по захте</w:t>
      </w:r>
      <w:r w:rsidR="00340219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ву оператера ,,</w:t>
      </w:r>
      <w:r w:rsidR="00013251" w:rsidRPr="00BD6791">
        <w:rPr>
          <w:rStyle w:val="Strong"/>
          <w:rFonts w:ascii="Times New Roman" w:hAnsi="Times New Roman" w:cs="Times New Roman"/>
          <w:b w:val="0"/>
          <w:sz w:val="24"/>
          <w:szCs w:val="24"/>
        </w:rPr>
        <w:t>М</w:t>
      </w:r>
      <w:r w:rsidR="00013251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ессер Техногас</w:t>
      </w:r>
      <w:r w:rsidR="00013251" w:rsidRPr="00AA61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“ </w:t>
      </w:r>
      <w:r w:rsidR="00013251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АД Београд, од 23.12</w:t>
      </w:r>
      <w:r w:rsidR="00340219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.2021.године,</w:t>
      </w:r>
      <w:r w:rsidR="00013251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з</w:t>
      </w:r>
      <w:r w:rsidR="00013251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а ревизију интегрисане дозволе за рад </w:t>
      </w:r>
      <w:r w:rsidR="00AA61FA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целокупн</w:t>
      </w:r>
      <w:r w:rsid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ог</w:t>
      </w:r>
      <w:r w:rsidR="00AA61FA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13251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постројења и обављање активности производње и промета техничких и медицинских гасова и пратеће опреме, на локацији катастарске парцеле бр. 158/2, 159/1, 160/1, КО Стара Раковица, број захтева за</w:t>
      </w:r>
      <w:r w:rsidR="00013251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ревизију дозволе 353-01-0000</w:t>
      </w:r>
      <w:r w:rsidR="0056298C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3/2012-05, Министарство заштите животне </w:t>
      </w:r>
      <w:r w:rsidR="008A21EB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средине, државни секретар</w:t>
      </w:r>
      <w:r w:rsidR="00117540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Александар Дујановић</w:t>
      </w:r>
      <w:r w:rsidR="008A21EB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по овлашћењу бр. 021-01-13/1/21-09 од 22.07.2021.године, доноси:</w:t>
      </w:r>
    </w:p>
    <w:p w14:paraId="282AC4A9" w14:textId="77777777" w:rsidR="008A21EB" w:rsidRPr="00AA61FA" w:rsidRDefault="008A21EB" w:rsidP="00340219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</w:p>
    <w:p w14:paraId="0BC751A7" w14:textId="77777777" w:rsidR="008A21EB" w:rsidRPr="00AA61FA" w:rsidRDefault="008A21EB" w:rsidP="00340219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</w:p>
    <w:p w14:paraId="7894275E" w14:textId="77777777" w:rsidR="008A21EB" w:rsidRPr="00B26FDF" w:rsidRDefault="008A21EB" w:rsidP="00340219">
      <w:pPr>
        <w:jc w:val="both"/>
        <w:rPr>
          <w:rStyle w:val="Strong"/>
          <w:rFonts w:ascii="Times New Roman" w:hAnsi="Times New Roman" w:cs="Times New Roman"/>
          <w:sz w:val="24"/>
          <w:szCs w:val="24"/>
          <w:lang w:val="sr-Cyrl-RS"/>
        </w:rPr>
      </w:pPr>
      <w:r w:rsidRPr="00AA61FA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</w:t>
      </w:r>
      <w:r w:rsidR="00117540" w:rsidRPr="00AA61FA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НАЦРТ</w:t>
      </w:r>
      <w:r w:rsidR="00EA3A41" w:rsidRPr="00AA61FA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917" w:rsidRPr="00AA61FA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РЕШЕЊА</w:t>
      </w:r>
    </w:p>
    <w:p w14:paraId="66B727B9" w14:textId="77777777" w:rsidR="008A21EB" w:rsidRPr="00BD6791" w:rsidRDefault="008A21EB" w:rsidP="00340219">
      <w:pPr>
        <w:jc w:val="both"/>
        <w:rPr>
          <w:rStyle w:val="Strong"/>
          <w:rFonts w:ascii="Times New Roman" w:hAnsi="Times New Roman" w:cs="Times New Roman"/>
          <w:sz w:val="24"/>
          <w:szCs w:val="24"/>
          <w:lang w:val="sr-Cyrl-RS"/>
        </w:rPr>
      </w:pPr>
      <w:r w:rsidRPr="00BD6791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о ревизији интегрисане дозволе</w:t>
      </w:r>
    </w:p>
    <w:p w14:paraId="1B7BD7AD" w14:textId="00E03677" w:rsidR="008A21EB" w:rsidRPr="00B26FDF" w:rsidRDefault="0056298C" w:rsidP="00B26FDF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У интегрисаној дозволи број 4</w:t>
      </w:r>
      <w:r w:rsidR="008A21EB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. од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16.03.2015</w:t>
      </w:r>
      <w:r w:rsidR="00A7304A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.године, уписаној у Регистар издатих дозвола, главна књига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рег.број 4</w:t>
      </w:r>
      <w:r w:rsidR="00A7304A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као и у првој ревизији интегрисане дозволе од </w:t>
      </w:r>
      <w:r w:rsidR="00AA61FA" w:rsidRPr="00B26FD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30.10.2018.године, </w:t>
      </w:r>
      <w:r w:rsidR="00A7304A" w:rsidRPr="00B26FD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мењају се услови у дозволи и то:</w:t>
      </w:r>
    </w:p>
    <w:p w14:paraId="790DB7CC" w14:textId="5E29DF2E" w:rsidR="009746C0" w:rsidRPr="00DD4D3F" w:rsidRDefault="0007268B" w:rsidP="00B26FDF">
      <w:pPr>
        <w:pStyle w:val="ListParagraph"/>
        <w:numPr>
          <w:ilvl w:val="0"/>
          <w:numId w:val="3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B26FD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У Поглављу </w:t>
      </w:r>
      <w:r w:rsidR="00A905C9" w:rsidRPr="00B26FDF"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  <w:t xml:space="preserve">I </w:t>
      </w:r>
      <w:r w:rsidR="00A905C9" w:rsidRPr="00B26FD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ОПШТИ ПОДАЦИ, у делу 1. Општи подаци о интегрисаној дозволи, брише се део текста:</w:t>
      </w:r>
      <w:r w:rsidR="00A905C9" w:rsidRPr="00B26FD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4.1. Хемијска постројења за производњу основних органских хемикалија као што су : а) прости угљоводоници (</w:t>
      </w:r>
      <w:r w:rsidR="00A905C9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линеарни или циклични, засићени или незасићени, неароматични или ароматични).</w:t>
      </w:r>
    </w:p>
    <w:p w14:paraId="1E5116E8" w14:textId="254D47C9" w:rsidR="00A905C9" w:rsidRPr="00E353A0" w:rsidRDefault="00A905C9" w:rsidP="00DD4D3F">
      <w:pPr>
        <w:pStyle w:val="CommentText"/>
        <w:numPr>
          <w:ilvl w:val="0"/>
          <w:numId w:val="3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E353A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На свим местима где је поменут </w:t>
      </w:r>
      <w:r w:rsidR="00AA61FA" w:rsidRPr="00E353A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Погон за</w:t>
      </w:r>
      <w:r w:rsidRPr="00E353A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A61FA" w:rsidRPr="00E353A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производњу </w:t>
      </w:r>
      <w:r w:rsidRPr="00E353A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ацетилена, потреб</w:t>
      </w:r>
      <w:r w:rsidR="000154B4" w:rsidRPr="00E353A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но је</w:t>
      </w:r>
      <w:r w:rsidR="000154B4" w:rsidRPr="00DD4D3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избрисати из дозволе јер је </w:t>
      </w:r>
      <w:r w:rsidR="00AA61FA" w:rsidRPr="00DD4D3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Погон за производњу ацетилена Одлуком Управе</w:t>
      </w:r>
      <w:r w:rsidR="00B26FD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AA61FA" w:rsidRPr="00B26FD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E84946" w:rsidRPr="00B26FD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трајно </w:t>
      </w:r>
      <w:r w:rsidR="00AA61FA" w:rsidRPr="00B26FD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престао са радом </w:t>
      </w:r>
      <w:r w:rsidR="00E84946" w:rsidRPr="00DD4D3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26FD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26FDF" w:rsidRPr="00B26FDF">
        <w:rPr>
          <w:rFonts w:ascii="Times New Roman" w:hAnsi="Times New Roman" w:cs="Times New Roman"/>
          <w:sz w:val="24"/>
          <w:szCs w:val="24"/>
          <w:lang w:val="sr-Cyrl-RS"/>
        </w:rPr>
        <w:t>длука</w:t>
      </w:r>
      <w:r w:rsidR="00E84946" w:rsidRPr="00DD4D3F">
        <w:rPr>
          <w:rFonts w:ascii="Times New Roman" w:hAnsi="Times New Roman" w:cs="Times New Roman"/>
          <w:sz w:val="24"/>
          <w:szCs w:val="24"/>
        </w:rPr>
        <w:t xml:space="preserve"> </w:t>
      </w:r>
      <w:r w:rsidR="00B26FDF" w:rsidRPr="002D478F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E621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6FDF" w:rsidRPr="002D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4946" w:rsidRPr="00DD4D3F">
        <w:rPr>
          <w:rFonts w:ascii="Times New Roman" w:hAnsi="Times New Roman" w:cs="Times New Roman"/>
          <w:sz w:val="24"/>
          <w:szCs w:val="24"/>
        </w:rPr>
        <w:t>2358</w:t>
      </w:r>
      <w:r w:rsidR="00B26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1EF" w:rsidRPr="00320586">
        <w:rPr>
          <w:rFonts w:ascii="Times New Roman" w:hAnsi="Times New Roman" w:cs="Times New Roman"/>
          <w:sz w:val="24"/>
          <w:szCs w:val="24"/>
          <w:lang w:val="sr-Cyrl-RS"/>
        </w:rPr>
        <w:t xml:space="preserve">од дана </w:t>
      </w:r>
      <w:r w:rsidR="00E621EF" w:rsidRPr="00320586">
        <w:rPr>
          <w:rFonts w:ascii="Times New Roman" w:hAnsi="Times New Roman" w:cs="Times New Roman"/>
          <w:sz w:val="24"/>
          <w:szCs w:val="24"/>
        </w:rPr>
        <w:t>26.04.2021.</w:t>
      </w:r>
      <w:r w:rsidR="00E621EF" w:rsidRPr="00320586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E621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6FDF">
        <w:rPr>
          <w:rFonts w:ascii="Times New Roman" w:hAnsi="Times New Roman" w:cs="Times New Roman"/>
          <w:sz w:val="24"/>
          <w:szCs w:val="24"/>
          <w:lang w:val="sr-Cyrl-RS"/>
        </w:rPr>
        <w:t xml:space="preserve">у прилогу </w:t>
      </w:r>
      <w:r w:rsidR="00B26FDF" w:rsidRPr="00E353A0">
        <w:rPr>
          <w:rFonts w:ascii="Times New Roman" w:hAnsi="Times New Roman" w:cs="Times New Roman"/>
          <w:sz w:val="24"/>
          <w:szCs w:val="24"/>
          <w:lang w:val="sr-Cyrl-RS"/>
        </w:rPr>
        <w:t>Захтева за ревизију интегрисане дозволе)</w:t>
      </w:r>
    </w:p>
    <w:p w14:paraId="7435E94E" w14:textId="0D741445" w:rsidR="005D3BD1" w:rsidRDefault="000154B4" w:rsidP="00DD4D3F">
      <w:pPr>
        <w:pStyle w:val="ListParagraph"/>
        <w:numPr>
          <w:ilvl w:val="0"/>
          <w:numId w:val="3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lastRenderedPageBreak/>
        <w:t xml:space="preserve">У Поглављу </w:t>
      </w: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  <w:t xml:space="preserve">II </w:t>
      </w: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АКТИВНОСТ ЗА КОЈУ ЈЕ ЗАХТЕВ ПОДНЕТ И ОЦЕНА ЗАХТЕВА</w:t>
      </w:r>
      <w:r w:rsidR="00A841C2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 у делу 1.</w:t>
      </w:r>
      <w:r w:rsidR="00FA10B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Кратак опис активности за коју је захтев поднет, на страни 3, комплетан део </w:t>
      </w:r>
      <w:r w:rsidR="00A841C2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1. Производња ацетилена,</w:t>
      </w:r>
      <w:r w:rsidR="00FA10B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се брише.</w:t>
      </w:r>
    </w:p>
    <w:p w14:paraId="4F49E270" w14:textId="18C379C7" w:rsidR="00E8529F" w:rsidRDefault="00F93ABB" w:rsidP="00DD4D3F">
      <w:pPr>
        <w:pStyle w:val="ListParagraph"/>
        <w:numPr>
          <w:ilvl w:val="0"/>
          <w:numId w:val="3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У Поглављу </w:t>
      </w: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  <w:t xml:space="preserve">II </w:t>
      </w: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АКТИВНОСТ ЗА КОЈУ ЈЕ ЗАХТЕВ ПОДНЕТ И ОЦЕНА ЗАХТЕВА, у делу 2. Опис локације на којој се активност обавља, на страни</w:t>
      </w:r>
      <w:r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</w:t>
      </w: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5</w:t>
      </w:r>
      <w:r w:rsidR="0019530E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  <w:r w:rsidR="00117540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8A7A55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у реченици: </w:t>
      </w:r>
      <w:r w:rsidR="008A7A55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„Прву целину чине...“</w:t>
      </w:r>
      <w:r w:rsidR="008A7A55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19530E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треба </w:t>
      </w:r>
      <w:r w:rsidR="00E621E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додати реч „</w:t>
      </w:r>
      <w:r w:rsidR="00E621EF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бивши</w:t>
      </w:r>
      <w:r w:rsidR="00E621E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“ испред</w:t>
      </w:r>
      <w:r w:rsidR="008A7A55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„</w:t>
      </w:r>
      <w:r w:rsidR="00DE3430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п</w:t>
      </w:r>
      <w:r w:rsidR="008A7A55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огон ацетилена</w:t>
      </w:r>
      <w:r w:rsidR="008A7A55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“ и  након</w:t>
      </w:r>
      <w:r w:rsidR="00DE3430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ове реченице </w:t>
      </w:r>
      <w:r w:rsidR="0019530E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додати текст:</w:t>
      </w:r>
      <w:r w:rsidR="005D3BD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„</w:t>
      </w:r>
      <w:r w:rsidR="005D3BD1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Погон за производњу ацетилена није у функцији и не планира се у истом покретање било какве произво</w:t>
      </w:r>
      <w:r w:rsidR="00E621EF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дње. Не планира се рушење истог</w:t>
      </w:r>
      <w:r w:rsidR="005D3BD1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, али су по престанку рада започети послови демонтаже инсталација и цевовода који ће се уредно одвојити, урадити карактеризација насталог отпада и исти предати овлаш</w:t>
      </w:r>
      <w:r w:rsidR="00E621E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ћ</w:t>
      </w:r>
      <w:r w:rsidR="005D3BD1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еној установи на даљу рециклажу.</w:t>
      </w:r>
      <w:r w:rsidR="00E621EF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</w:t>
      </w:r>
      <w:r w:rsidR="005D3BD1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Бивши магацин за складиштење калцијум карбида је у току адаптације и биће намењен за складиштење амонијум нитрата.</w:t>
      </w:r>
      <w:r w:rsidR="00E621E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</w:p>
    <w:p w14:paraId="1C33E290" w14:textId="2CBB470F" w:rsidR="000154B4" w:rsidRPr="00BD6791" w:rsidRDefault="00E8529F" w:rsidP="00DD4D3F">
      <w:pPr>
        <w:pStyle w:val="ListParagraph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У овом делу локације и</w:t>
      </w:r>
      <w:r w:rsidR="00DE3430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зграђена су</w:t>
      </w:r>
      <w:r w:rsidR="00DE3430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19530E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3 нова објекта</w:t>
      </w:r>
      <w:r w:rsidR="00DE3430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: </w:t>
      </w:r>
      <w:r w:rsidR="0019530E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гасни генератори, нови резервоари са пратећом инсталацијом у оквиру </w:t>
      </w:r>
      <w:r w:rsidR="0019530E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>DC</w:t>
      </w:r>
      <w:r w:rsidR="00DE3430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</w:t>
      </w:r>
      <w:r w:rsidR="0019530E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Кисеоник и нови уграђени систем за одвођење технолошке отпадне воде из Погона </w:t>
      </w:r>
      <w:r w:rsidR="00FA10B2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за производњу азот</w:t>
      </w:r>
      <w:r w:rsidR="002706B4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>-</w:t>
      </w:r>
      <w:r w:rsidR="00FA10B2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субоксида (</w:t>
      </w:r>
      <w:r w:rsidR="0019530E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>N</w:t>
      </w:r>
      <w:r w:rsidR="0019530E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vertAlign w:val="subscript"/>
          <w:lang w:val="sr-Latn-RS"/>
        </w:rPr>
        <w:t>2</w:t>
      </w:r>
      <w:r w:rsidR="0019530E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>O</w:t>
      </w:r>
      <w:r w:rsidR="00FA10B2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)</w:t>
      </w:r>
      <w:r w:rsidR="0019530E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у </w:t>
      </w:r>
      <w:r w:rsidR="002834A9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с</w:t>
      </w:r>
      <w:r w:rsidR="0019530E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абирне базене </w:t>
      </w:r>
      <w:r w:rsidR="00B13F00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(који су раније коришћени</w:t>
      </w:r>
      <w:r w:rsidR="00B13F00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</w:t>
      </w:r>
      <w:r w:rsidR="0019530E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за кречни муљ</w:t>
      </w:r>
      <w:r w:rsidR="00B13F00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)</w:t>
      </w:r>
      <w:r w:rsidR="0019530E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.</w:t>
      </w:r>
      <w:r w:rsidR="00E621E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“ </w:t>
      </w:r>
      <w:r w:rsidR="00BF4FAE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</w:t>
      </w:r>
      <w:r w:rsidR="00DE3430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Након</w:t>
      </w:r>
      <w:r w:rsidR="00BF4FAE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реченице:</w:t>
      </w:r>
      <w:r w:rsidR="00BF4FAE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</w:t>
      </w:r>
      <w:r w:rsidR="008A7A55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„</w:t>
      </w:r>
      <w:r w:rsidR="00BF4FAE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Другу целину чине објекат </w:t>
      </w:r>
      <w:r w:rsidR="008A7A55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сервиса </w:t>
      </w:r>
      <w:r w:rsidR="00BF4FAE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и гаража</w:t>
      </w:r>
      <w:r w:rsidR="00B30B75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за аутоцистерне заједно са п</w:t>
      </w:r>
      <w:r w:rsidR="000D5CD6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аркинг простором за возни парк</w:t>
      </w:r>
      <w:r w:rsidR="00B30B75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и интерном станицом за дизел гориво смештени су у новоизграђеном делу локације</w:t>
      </w:r>
      <w:r w:rsidR="000D5CD6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.</w:t>
      </w:r>
      <w:r w:rsidR="008A7A55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“</w:t>
      </w:r>
      <w:r w:rsidR="00BF4FAE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, </w:t>
      </w:r>
      <w:r w:rsidR="00BF4FAE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додати</w:t>
      </w:r>
      <w:r w:rsidR="00B30B75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следећи текст</w:t>
      </w:r>
      <w:r w:rsidR="00BF4FAE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:</w:t>
      </w:r>
      <w:r w:rsidR="00DE3430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„</w:t>
      </w:r>
      <w:r w:rsidR="00B30B75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О</w:t>
      </w:r>
      <w:r w:rsidR="00BF4FAE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бјекат сервиса и гаража је сада празан и без намене</w:t>
      </w:r>
      <w:r w:rsidR="00B30B75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, јер су службе транспорта </w:t>
      </w:r>
      <w:r w:rsidR="000D5CD6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 xml:space="preserve">Castolab i Cryo servisa </w:t>
      </w:r>
      <w:r w:rsidR="00B30B75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са свом пратећом опремом и возилима пресељене на локацију фабрике у Смедереву</w:t>
      </w:r>
      <w:r w:rsidR="002706B4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>,</w:t>
      </w:r>
      <w:r w:rsidR="00B30B75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тако да на тој локацији нема запослених. Одлуком предузећа бр.1821 од 30.03.2018.год., пумпна станица </w:t>
      </w:r>
      <w:r w:rsidR="000D5CD6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за дизел гориво у склопу комплекса на левој обали Каљавог потока је стављена ван функције. Резервоар за лож уље у комплексу на левој обали Каљавог потока, на основу Одлуке бр.1351 </w:t>
      </w:r>
      <w:r w:rsidR="00611967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>o</w:t>
      </w:r>
      <w:r w:rsidR="000D5CD6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д 15.03.2017.год о отпису, извађен је и предат </w:t>
      </w:r>
      <w:r w:rsidR="00B13F00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(</w:t>
      </w:r>
      <w:r w:rsidR="000D5CD6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као отпадно гвожђе</w:t>
      </w:r>
      <w:r w:rsidR="00B13F00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)</w:t>
      </w:r>
      <w:r w:rsidR="000D5CD6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</w:t>
      </w:r>
      <w:r w:rsidR="00B13F00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овлашћеном оператеру </w:t>
      </w:r>
      <w:r w:rsidR="00FC6BC9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на рециклажу</w:t>
      </w:r>
      <w:r w:rsidR="000D5CD6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“.</w:t>
      </w:r>
    </w:p>
    <w:p w14:paraId="0D878203" w14:textId="607B8AB6" w:rsidR="00626E12" w:rsidRPr="00DD4D3F" w:rsidRDefault="00626E12" w:rsidP="00626E12">
      <w:pPr>
        <w:pStyle w:val="ListParagraph"/>
        <w:numPr>
          <w:ilvl w:val="0"/>
          <w:numId w:val="3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FC6BC9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У Поглављу </w:t>
      </w:r>
      <w:r w:rsidRPr="00FC6BC9"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  <w:t xml:space="preserve">II </w:t>
      </w:r>
      <w:r w:rsidRPr="00FC6BC9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АКТИВНОСТ ЗА КОЈУ ЈЕ ЗАХТЕВ ПОДНЕТ И ОЦЕНА ЗАХТЕВА, у делу</w:t>
      </w:r>
      <w:r w:rsidRPr="00FC6BC9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4B3EE0" w:rsidRPr="00FC6BC9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3.</w:t>
      </w:r>
      <w:r w:rsidR="00FC6BC9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B3EE0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Постојеће дозволе, одобрења и сагласности</w:t>
      </w:r>
      <w:r w:rsidR="00DF4BF1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="006B2F0D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на страни 6, пасус </w:t>
      </w:r>
      <w:r w:rsidR="002834A9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5</w:t>
      </w:r>
      <w:r w:rsidR="006B2F0D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. </w:t>
      </w:r>
      <w:r w:rsidR="00DF4BF1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тр</w:t>
      </w:r>
      <w:r w:rsidR="00DF4BF1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еба додати</w:t>
      </w:r>
      <w:r w:rsidR="006B2F0D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реченицу: „</w:t>
      </w:r>
      <w:r w:rsidR="006B2F0D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Д</w:t>
      </w:r>
      <w:r w:rsidR="00DF4BF1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ошло</w:t>
      </w:r>
      <w:r w:rsidR="006B2F0D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је </w:t>
      </w:r>
      <w:r w:rsidR="00DF4BF1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до промена у прилогу ове дозволе у којој се налази листа свих докумената</w:t>
      </w:r>
      <w:r w:rsidR="00DE3430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F4BF1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</w:t>
      </w:r>
      <w:r w:rsidR="006B2F0D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из прилога</w:t>
      </w:r>
      <w:r w:rsidR="00DF4BF1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избрисати</w:t>
      </w:r>
      <w:r w:rsidR="006B2F0D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следећа акта која више нису релевантна</w:t>
      </w:r>
      <w:r w:rsidR="00DF4BF1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:</w:t>
      </w:r>
      <w:r w:rsidR="00DF4BF1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</w:t>
      </w:r>
      <w:r w:rsidR="00DF4BF1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Употребна дозвола за ацетонску станицу бр. 351-869/82-</w:t>
      </w:r>
      <w:r w:rsidR="00DF4BF1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>VI</w:t>
      </w:r>
      <w:r w:rsidR="00DF4BF1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од 05.05.1982.; Употребна дозвола за рад котларнице</w:t>
      </w:r>
      <w:r w:rsidR="00DF4BF1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;</w:t>
      </w:r>
      <w:r w:rsidR="006B2F0D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</w:t>
      </w:r>
      <w:r w:rsidR="008B22AE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Водопривредна дозвола бр.</w:t>
      </w:r>
      <w:r w:rsidR="008B22AE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 xml:space="preserve"> III-07-325.3-30/2012</w:t>
      </w:r>
      <w:r w:rsidR="008B22AE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од 20.02.2013, </w:t>
      </w:r>
      <w:r w:rsidR="008B22AE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а уписати</w:t>
      </w:r>
      <w:r w:rsidR="006B2F0D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:</w:t>
      </w:r>
      <w:r w:rsidR="008B22AE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8B22AE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Решење о</w:t>
      </w:r>
      <w:r w:rsidR="000B2A74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издавању водне дозволе-Jавно водопривредно предузеће Србија воде Београд, Водопривредни центар Сава-Дунав. , под редним бр. 5384/1 од 05.08</w:t>
      </w:r>
      <w:r w:rsidR="008B22AE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.2021</w:t>
      </w:r>
      <w:r w:rsidR="000B2A74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. до 15.08.2023. године</w:t>
      </w:r>
      <w:r w:rsidR="008B22AE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.</w:t>
      </w:r>
      <w:r w:rsidR="000B2A74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; Употребна дозвола за нове гасне генераторе за грејање локације Фабрике, издата </w:t>
      </w:r>
      <w:r w:rsidR="00E76FA4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од стране Одељења за грађевинске и комуналне послове Општине Раковица </w:t>
      </w:r>
      <w:r w:rsidR="00E76FA4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>ROP-RAK-24035-IUP-2/2016,</w:t>
      </w:r>
      <w:r w:rsidR="006B2F0D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Заводни </w:t>
      </w:r>
      <w:r w:rsidR="00E76FA4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број: 351-193/2016 од 16.11.2016.год.</w:t>
      </w:r>
      <w:r w:rsidR="008B22AE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)</w:t>
      </w:r>
    </w:p>
    <w:p w14:paraId="2E046112" w14:textId="46AA548D" w:rsidR="00980CAE" w:rsidRPr="00DD4D3F" w:rsidRDefault="00FC6BC9" w:rsidP="00BD6791">
      <w:pPr>
        <w:pStyle w:val="ListParagraph"/>
        <w:numPr>
          <w:ilvl w:val="0"/>
          <w:numId w:val="3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У Поглављу </w:t>
      </w: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  <w:t xml:space="preserve">II </w:t>
      </w: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АКТИВНОСТ ЗА КОЈУ ЈЕ ЗАХТЕВ ПОДНЕТ И ОЦЕНА ЗАХТЕВА, у делу</w:t>
      </w: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4. Главни утицаји на животну средину, на страни 7. ревизијом дозволе од 30.10.2018.године реченица: „</w:t>
      </w:r>
      <w:r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Отпадне воде се мешају са исталоженим водама из погона ацетилена и као такве спроводе у базен избистреле воде за даљу употребу у поступку производње ацетилена</w:t>
      </w: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.“ се замењује следећом реченицом: „</w:t>
      </w:r>
      <w:r w:rsid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Отпадне воде</w:t>
      </w:r>
      <w:r w:rsidR="00BD6791" w:rsidRPr="00E820EC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настал</w:t>
      </w:r>
      <w:r w:rsid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е</w:t>
      </w:r>
      <w:r w:rsidR="00BD6791" w:rsidRPr="00E820EC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у </w:t>
      </w:r>
      <w:r w:rsid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П</w:t>
      </w:r>
      <w:r w:rsidR="00BD6791" w:rsidRPr="00E820EC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огону за производњу азот</w:t>
      </w:r>
      <w:r w:rsidR="002706B4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>-</w:t>
      </w:r>
      <w:r w:rsidR="00BD6791" w:rsidRPr="00E820EC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субоксида се прикупљају у систем од 4 базена, одакле се, у складу са </w:t>
      </w:r>
      <w:r w:rsidR="00BD6791" w:rsidRPr="00E820EC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lastRenderedPageBreak/>
        <w:t>добијеном Водном дозволом</w:t>
      </w:r>
      <w:r w:rsidR="00B13F00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, бр.5384/1 издатом од стране ЈВП „Србијаводе“ Београд</w:t>
      </w:r>
      <w:r w:rsidR="00BD6791" w:rsidRPr="00E820EC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,</w:t>
      </w:r>
      <w:r w:rsidR="00B13F00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ВЦ „Сава-Дунав“</w:t>
      </w:r>
      <w:r w:rsidR="00BD6791" w:rsidRPr="00E820EC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</w:t>
      </w:r>
      <w:r w:rsidR="00B13F00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од 05.08.2021.године, са роком важења до 15.08.2023.године, </w:t>
      </w:r>
      <w:r w:rsidR="00BD6791" w:rsidRPr="00E820EC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цистернама одвоз</w:t>
      </w:r>
      <w:r w:rsid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е </w:t>
      </w:r>
      <w:r w:rsidR="00BD6791" w:rsidRPr="00E820EC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у Фабрику ацетилена у Краљеву и на идентичан начин као до сада</w:t>
      </w:r>
      <w:r w:rsidR="00B13F00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,</w:t>
      </w:r>
      <w:r w:rsidR="00BD6791" w:rsidRPr="00E820EC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у потпуности корист</w:t>
      </w:r>
      <w:r w:rsid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е</w:t>
      </w:r>
      <w:r w:rsidR="00BD6791" w:rsidRPr="00E820EC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у Погону за производњу ацетилена, Фабрике у Краљеву</w:t>
      </w:r>
      <w:r w:rsidR="00B13F00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. </w:t>
      </w:r>
      <w:r w:rsidR="00AA26D7" w:rsidRPr="008B4516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Призводња азотсубоксида се обавља дисконтинуално у три смене према захтевима здра</w:t>
      </w:r>
      <w:r w:rsidR="00AA26D7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в</w:t>
      </w:r>
      <w:r w:rsidR="00AA26D7" w:rsidRPr="008B4516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ства. Оператер има  Уговор са овлашћеном фирмом за превоз технолошке воде из Погона азот</w:t>
      </w:r>
      <w:r w:rsidR="00AA26D7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-</w:t>
      </w:r>
      <w:r w:rsidR="00AA26D7" w:rsidRPr="008B4516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субоксида. Цистерна којом се превози тех</w:t>
      </w:r>
      <w:r w:rsidR="00AA26D7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нолошка</w:t>
      </w:r>
      <w:r w:rsidR="00AA26D7" w:rsidRPr="008B4516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вода је капацитета 25000</w:t>
      </w:r>
      <w:r w:rsidR="00AA26D7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 xml:space="preserve"> l, </w:t>
      </w:r>
      <w:r w:rsidR="00AA26D7" w:rsidRPr="008B4516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а динамика превоза зависи од производње азот-субоксида, односно настале количине технолошке отпадне воде (од септембра 2021. године превозиле су се у просеку 1. до 2. цистерне недељно). </w:t>
      </w:r>
      <w:r w:rsidR="00493015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Укупна часовна количина технолошких отпадних вода које се испуштају из </w:t>
      </w:r>
      <w:r w:rsidR="002834A9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погона за производњу азот субоксида износи </w:t>
      </w:r>
      <w:r w:rsidR="00493015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615</w:t>
      </w:r>
      <w:r w:rsidR="00B45005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</w:t>
      </w:r>
      <w:r w:rsidR="00493015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l/h </w:t>
      </w:r>
      <w:r w:rsidR="00B45005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(0,615m</w:t>
      </w:r>
      <w:r w:rsidR="00B45005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vertAlign w:val="superscript"/>
          <w:lang w:val="sr-Cyrl-RS"/>
        </w:rPr>
        <w:t>3</w:t>
      </w:r>
      <w:r w:rsidR="00B45005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/</w:t>
      </w:r>
      <w:r w:rsidR="00B45005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 xml:space="preserve">h </w:t>
      </w:r>
      <w:r w:rsidR="00B45005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или </w:t>
      </w:r>
      <w:r w:rsidR="00B45005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>14,75m</w:t>
      </w:r>
      <w:r w:rsidR="00B45005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vertAlign w:val="superscript"/>
        </w:rPr>
        <w:t>3</w:t>
      </w:r>
      <w:r w:rsidR="00B45005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>/dan</w:t>
      </w:r>
      <w:r w:rsidR="00B45005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)</w:t>
      </w:r>
      <w:r w:rsidR="00BD6791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“</w:t>
      </w:r>
      <w:r w:rsidR="0080673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. </w:t>
      </w:r>
    </w:p>
    <w:p w14:paraId="0A4E5377" w14:textId="34EE1E12" w:rsidR="00BD6791" w:rsidRPr="00DD4D3F" w:rsidRDefault="00806731" w:rsidP="00DD4D3F">
      <w:pPr>
        <w:pStyle w:val="ListParagraph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DD4D3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Т</w:t>
      </w:r>
      <w:r w:rsidR="00BD6791" w:rsidRPr="00DD4D3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акође, додати реченицу</w:t>
      </w:r>
      <w:r w:rsidR="00BD6791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: „Подземни резервоар ацетона запремине 25</w:t>
      </w:r>
      <w:r w:rsidR="00BD6791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>m</w:t>
      </w:r>
      <w:r w:rsidR="00BD6791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vertAlign w:val="superscript"/>
          <w:lang w:val="sr-Latn-RS"/>
        </w:rPr>
        <w:t>3</w:t>
      </w:r>
      <w:r w:rsidR="00BD6791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је извађен и предат на рециклажу овлашћеном оператеру.</w:t>
      </w:r>
    </w:p>
    <w:p w14:paraId="79E4ABBB" w14:textId="0A8D45F5" w:rsidR="00E76FA4" w:rsidRPr="00DD4D3F" w:rsidRDefault="00E76FA4" w:rsidP="00060E75">
      <w:pPr>
        <w:pStyle w:val="ListParagraph"/>
        <w:numPr>
          <w:ilvl w:val="0"/>
          <w:numId w:val="3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У Поглављу </w:t>
      </w: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  <w:t xml:space="preserve">II </w:t>
      </w: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АКТИВНОСТ ЗА КОЈУ ЈЕ ЗАХТЕВ ПОДНЕТ И ОЦЕНА ЗАХТЕВА, у делу </w:t>
      </w:r>
      <w:r w:rsidR="0082463F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6.2.</w:t>
      </w:r>
      <w:r w:rsidR="008A6D84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82463F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Коришћење ресурса, </w:t>
      </w:r>
      <w:r w:rsidR="006B2F0D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на страни 10., у делу: </w:t>
      </w:r>
      <w:r w:rsidR="0082463F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Енергија </w:t>
      </w:r>
      <w:r w:rsidR="00980CAE" w:rsidRPr="00DD4D3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9E2C49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у </w:t>
      </w:r>
      <w:r w:rsidR="0082463F" w:rsidRPr="00DD4D3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речениц</w:t>
      </w:r>
      <w:r w:rsidR="009E2C49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и</w:t>
      </w:r>
      <w:r w:rsidR="0082463F" w:rsidRPr="00DD4D3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:</w:t>
      </w:r>
      <w:r w:rsidR="000D5CD6" w:rsidRPr="00DD4D3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„</w:t>
      </w:r>
      <w:r w:rsidR="0082463F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Природни гас као гориво за рад котларнице за грејање простора током зимског периода</w:t>
      </w:r>
      <w:r w:rsidR="009E2C49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и</w:t>
      </w:r>
      <w:r w:rsidR="0082463F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лож уље као алтернативно гориво у случају прекида са </w:t>
      </w:r>
      <w:r w:rsidR="006B2F0D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снадбевањем </w:t>
      </w:r>
      <w:r w:rsidR="0082463F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природним гасом.</w:t>
      </w:r>
      <w:r w:rsidR="000D5CD6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“</w:t>
      </w:r>
      <w:r w:rsidR="009E2C49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</w:t>
      </w:r>
      <w:r w:rsidR="009E2C49" w:rsidRPr="00DD4D3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брише се део</w:t>
      </w:r>
      <w:r w:rsidR="009E2C49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„и </w:t>
      </w:r>
      <w:r w:rsidR="009E2C49" w:rsidRPr="00373D09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лож уље као алтернативно гориво у случају прекида са снадбевањем природним гасом</w:t>
      </w:r>
      <w:r w:rsidR="009E2C49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“</w:t>
      </w:r>
      <w:r w:rsidR="009E2C49" w:rsidRPr="00373D09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.</w:t>
      </w:r>
      <w:r w:rsidR="009E2C49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</w:t>
      </w:r>
    </w:p>
    <w:p w14:paraId="549D2B47" w14:textId="51830A90" w:rsidR="0082463F" w:rsidRPr="00AA61FA" w:rsidRDefault="0082463F" w:rsidP="009D76AA">
      <w:pPr>
        <w:pStyle w:val="ListParagraph"/>
        <w:numPr>
          <w:ilvl w:val="0"/>
          <w:numId w:val="3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У Поглављу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  <w:t xml:space="preserve">II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АКТИВНОСТ ЗА КОЈУ ЈЕ ЗАХТЕВ ПОДНЕТ И ОЦЕНА ЗАХТЕВА, </w:t>
      </w:r>
      <w:r w:rsidR="006B2F0D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у делу 6.2. Коришћење ресурса</w:t>
      </w:r>
      <w:r w:rsidR="00F54F3A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6B2F0D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на страни 12,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у делу</w:t>
      </w:r>
      <w:r w:rsidR="006B2F0D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: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Котларница</w:t>
      </w:r>
      <w:r w:rsidR="00F54F3A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960A9B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додаје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се </w:t>
      </w:r>
      <w:r w:rsidR="00F76861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реченица </w:t>
      </w:r>
      <w:r w:rsidR="00FB3B63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: </w:t>
      </w:r>
      <w:r w:rsidR="00F54F3A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</w:t>
      </w:r>
      <w:r w:rsidR="00FB3B63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Котларница је затворена и опрема демонтирана.</w:t>
      </w:r>
      <w:r w:rsidR="00F54F3A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</w:t>
      </w:r>
      <w:r w:rsidR="00FB3B63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Крајем 2016.године постављени</w:t>
      </w:r>
      <w:r w:rsidR="00F54F3A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су</w:t>
      </w:r>
      <w:r w:rsidR="00FB3B63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и пуштени у рад нови гасни генератори за грејање локације који користе искључиво земни гас за загревање простора локације. Тиме је искључена потреба коришћења лож уља из подземног резервоара као алтернатив</w:t>
      </w:r>
      <w:r w:rsidR="00960A9B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ног горива за</w:t>
      </w:r>
      <w:r w:rsidR="00FB3B63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грејањ</w:t>
      </w:r>
      <w:r w:rsidR="00960A9B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е</w:t>
      </w:r>
      <w:r w:rsidR="00FB3B63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. Резервоар за лож уље </w:t>
      </w:r>
      <w:r w:rsidR="00F76861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ј</w:t>
      </w:r>
      <w:r w:rsidR="00FB3B63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е демонтира</w:t>
      </w:r>
      <w:r w:rsidR="00F54F3A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н</w:t>
      </w:r>
      <w:r w:rsidR="00FB3B63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и </w:t>
      </w:r>
      <w:r w:rsidR="00F76861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предат </w:t>
      </w:r>
      <w:r w:rsidR="00FB3B63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овлашћеној фирми на рециклажу.</w:t>
      </w:r>
      <w:r w:rsidR="00F76861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“</w:t>
      </w:r>
      <w:r w:rsidR="00960A9B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а затим остаје реченица, унета првом ревизијом дозволе од 30.10.2018.године,  „</w:t>
      </w:r>
      <w:r w:rsidR="00960A9B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Загађење ваздуха потичпе из испуста 3 кондензациона гасна генератора и 2 фасадна кондензациона гасна котла који као енергент користе природни гас</w:t>
      </w:r>
      <w:r w:rsidR="00960A9B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.“ </w:t>
      </w:r>
    </w:p>
    <w:p w14:paraId="2C9236DC" w14:textId="66F3FBDC" w:rsidR="00BE3DC8" w:rsidRPr="00AA61FA" w:rsidRDefault="00BE3DC8" w:rsidP="0082463F">
      <w:pPr>
        <w:pStyle w:val="ListParagraph"/>
        <w:numPr>
          <w:ilvl w:val="0"/>
          <w:numId w:val="3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У Поглављу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  <w:t xml:space="preserve">II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АКТИВНОСТ ЗА КОЈУ ЈЕ ЗАХТЕВ ПОДНЕТ И ОЦЕНА ЗАХТЕВА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,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у делу 6.4. Емисије у воду и њихов утицај на животну средину</w:t>
      </w:r>
      <w:r w:rsidR="00F76861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на страни 13, </w:t>
      </w:r>
      <w:r w:rsidR="00F57FA0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реченица унета ревизијом од 30.10.2018.</w:t>
      </w:r>
      <w:r w:rsidR="00C41FFC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F57FA0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године „</w:t>
      </w:r>
      <w:r w:rsidR="00F57FA0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Отпадне воде се мешају са исталоженим водама</w:t>
      </w:r>
      <w:r w:rsidR="00F57FA0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из погона ацетилена и као такве спроводе у базен избистриле воде за даљу употребу у поступку производње ацетилена</w:t>
      </w:r>
      <w:r w:rsidR="00F57FA0" w:rsidRPr="00DD4D3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“ се брише</w:t>
      </w:r>
      <w:r w:rsidR="00C41FFC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и </w:t>
      </w: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додаје се текст:</w:t>
      </w:r>
      <w:r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</w:t>
      </w:r>
      <w:r w:rsidR="00C41FFC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„</w:t>
      </w:r>
      <w:r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Одлуком Управе, </w:t>
      </w:r>
      <w:r w:rsidR="00C41FFC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о</w:t>
      </w:r>
      <w:r w:rsidR="00980CAE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трајном </w:t>
      </w:r>
      <w:r w:rsidR="00C41FFC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престанку рада погона ацетилена као једино решење за збрињавање технолошких отпадних вода</w:t>
      </w:r>
      <w:r w:rsidR="00403C4B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, насталих у погону за производњу азот</w:t>
      </w:r>
      <w:r w:rsidR="00980CAE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-</w:t>
      </w:r>
      <w:r w:rsidR="00403C4B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субоксида, је да се оне прикупљају у систем од 4 базена, </w:t>
      </w:r>
      <w:r w:rsidR="00403C4B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запремине 4x250</w:t>
      </w:r>
      <w:r w:rsidR="00403C4B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>m</w:t>
      </w:r>
      <w:r w:rsidR="00403C4B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vertAlign w:val="superscript"/>
          <w:lang w:val="sr-Cyrl-RS"/>
        </w:rPr>
        <w:t>3</w:t>
      </w:r>
      <w:r w:rsidR="00403C4B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 xml:space="preserve"> </w:t>
      </w:r>
      <w:r w:rsidR="00403C4B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изграђен од армираног бетона и уздигнут од околног терена</w:t>
      </w:r>
      <w:r w:rsidR="00403C4B" w:rsidRPr="00BD679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, одакле ће се</w:t>
      </w:r>
      <w:r w:rsidR="00403C4B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, </w:t>
      </w:r>
      <w:r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у складу са</w:t>
      </w:r>
      <w:r w:rsidR="008A6D84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</w:t>
      </w:r>
      <w:r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добијеном Водном дозволом</w:t>
      </w:r>
      <w:r w:rsidR="00403C4B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, цистернама одвозити у Фабрику </w:t>
      </w:r>
      <w:r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ацетилена у Краљеву</w:t>
      </w:r>
      <w:r w:rsidR="009E2C49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.</w:t>
      </w:r>
      <w:r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</w:t>
      </w:r>
      <w:r w:rsidR="009E2C49" w:rsidRPr="008B4516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Пр</w:t>
      </w:r>
      <w:r w:rsidR="00BD6A8C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о</w:t>
      </w:r>
      <w:r w:rsidR="009E2C49" w:rsidRPr="008B4516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изводња азотсубоксида се обавља дисконтинуално у три смене према захтевима здра</w:t>
      </w:r>
      <w:r w:rsidR="009E2C49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в</w:t>
      </w:r>
      <w:r w:rsidR="009E2C49" w:rsidRPr="008B4516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ства. Оператер има  Уговор са овлашћеном фирмом за превоз технолошке воде из Погона азот</w:t>
      </w:r>
      <w:r w:rsidR="009E2C49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-</w:t>
      </w:r>
      <w:r w:rsidR="009E2C49" w:rsidRPr="008B4516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субоксида. Цистерна којом се превози тех</w:t>
      </w:r>
      <w:r w:rsidR="009E2C49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нолошка</w:t>
      </w:r>
      <w:r w:rsidR="009E2C49" w:rsidRPr="008B4516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вода је капацитета 25000</w:t>
      </w:r>
      <w:r w:rsidR="009E2C49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 xml:space="preserve"> l, </w:t>
      </w:r>
      <w:r w:rsidR="009E2C49" w:rsidRPr="008B4516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а динамика превоза зависи од производње азот-субоксида, односно настале количине технолошке отпадне воде (од септембра 2021. године </w:t>
      </w:r>
      <w:r w:rsidR="009E2C49" w:rsidRPr="008B4516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lastRenderedPageBreak/>
        <w:t>превозиле су се у прос</w:t>
      </w:r>
      <w:bookmarkStart w:id="0" w:name="_GoBack"/>
      <w:bookmarkEnd w:id="0"/>
      <w:r w:rsidR="009E2C49" w:rsidRPr="008B4516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еку 1. до 2. цистерне недељно). </w:t>
      </w:r>
      <w:r w:rsidR="009E2C49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Ове технолошке воде ће се </w:t>
      </w:r>
      <w:r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на идентичан начин </w:t>
      </w:r>
      <w:r w:rsidR="00403C4B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као до сада </w:t>
      </w:r>
      <w:r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у потпуности </w:t>
      </w:r>
      <w:r w:rsidR="00403C4B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користи </w:t>
      </w:r>
      <w:r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у Погону за п</w:t>
      </w:r>
      <w:r w:rsidR="008A6D84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роизводњу ацетилена</w:t>
      </w:r>
      <w:r w:rsidR="00403C4B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</w:t>
      </w:r>
      <w:r w:rsidR="003C5DF3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ф</w:t>
      </w:r>
      <w:r w:rsidR="00403C4B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абрике у Краљеву</w:t>
      </w:r>
      <w:r w:rsidR="004219C1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.</w:t>
      </w:r>
      <w:r w:rsidR="00403C4B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Тренутно се вода у производњи ацетилена у Краљеву обезбеђује већим делом из градске мреже, а делом од избистреле воде од створеног кречног м</w:t>
      </w:r>
      <w:r w:rsidR="009214A1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ле</w:t>
      </w:r>
      <w:r w:rsidR="00403C4B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ка.“ </w:t>
      </w:r>
      <w:r w:rsidR="004219C1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</w:t>
      </w:r>
    </w:p>
    <w:p w14:paraId="7ED367CC" w14:textId="3EA5030D" w:rsidR="009E24F6" w:rsidRPr="00AA61FA" w:rsidRDefault="008A6D84" w:rsidP="000F23ED">
      <w:pPr>
        <w:pStyle w:val="ListParagraph"/>
        <w:numPr>
          <w:ilvl w:val="0"/>
          <w:numId w:val="3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У Поглављу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  <w:t xml:space="preserve"> III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УСЛОВИ</w:t>
      </w:r>
      <w:r w:rsidR="000F23ED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F23ED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у делу 5. Отпадне воде</w:t>
      </w:r>
      <w:r w:rsidR="006522D3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F23ED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- </w:t>
      </w:r>
      <w:r w:rsidR="00156829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на страни 21, </w:t>
      </w:r>
      <w:r w:rsidR="000F23ED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5.1. Процес рада и постројења за третман, </w:t>
      </w:r>
      <w:r w:rsidR="0061452A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у реченици унетој ревизијом дозволе од 30.10.2018.</w:t>
      </w:r>
      <w:r w:rsidR="006522D3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61452A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године</w:t>
      </w:r>
      <w:r w:rsidR="002D702A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  <w:t xml:space="preserve">: </w:t>
      </w:r>
      <w:r w:rsidR="002D702A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</w:t>
      </w:r>
      <w:r w:rsidR="002D702A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>O</w:t>
      </w:r>
      <w:r w:rsidR="002D702A" w:rsidRPr="00DD4D3F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бавезује се оператер да поступа у складу са условима прописаним у водној дозволи издатој од стране Јавног Водопривредног Предузећа „Србијаводе“ Београд, водопривредни центар „Сава-Дунав</w:t>
      </w:r>
      <w:r w:rsidR="002D702A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“</w:t>
      </w:r>
      <w:r w:rsidR="0061452A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изменити број </w:t>
      </w:r>
      <w:r w:rsidR="0061452A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Водне дозволе: 5384/1 од 05.08.2021.</w:t>
      </w:r>
      <w:r w:rsidR="006522D3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61452A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године. </w:t>
      </w:r>
    </w:p>
    <w:p w14:paraId="0F4201BD" w14:textId="2A62EEFB" w:rsidR="00276773" w:rsidRPr="00AA61FA" w:rsidRDefault="008A6D84" w:rsidP="00276773">
      <w:pPr>
        <w:pStyle w:val="ListParagraph"/>
        <w:numPr>
          <w:ilvl w:val="0"/>
          <w:numId w:val="3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У Поглављу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  <w:t xml:space="preserve"> III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УСЛОВИ</w:t>
      </w:r>
      <w:r w:rsidR="00276773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на страни 22,</w:t>
      </w:r>
      <w:r w:rsidR="00276773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у делу 5.2. Емисије у воду</w:t>
      </w:r>
      <w:r w:rsidR="006522D3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276773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- </w:t>
      </w:r>
      <w:r w:rsidR="00AD4250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ревизијом од 30.10.2018.године је избачен</w:t>
      </w:r>
      <w:r w:rsidR="00276773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текст од почетка до Табеле </w:t>
      </w:r>
      <w:r w:rsidR="00276773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  <w:t>III-5</w:t>
      </w:r>
      <w:r w:rsidR="002E63D6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  <w:t>.</w:t>
      </w:r>
      <w:r w:rsidR="00914CDE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а додаје се текст </w:t>
      </w:r>
      <w:r w:rsidR="00AD4250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</w:t>
      </w:r>
      <w:r w:rsidR="00914CDE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Обавезује се Оператер да квалитет испуштених атмосферских вода не наруши прописане услове за испуштање </w:t>
      </w:r>
      <w:r w:rsidR="00BD6A8C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атмос</w:t>
      </w:r>
      <w:r w:rsidR="00BD6A8C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ф</w:t>
      </w:r>
      <w:r w:rsidR="00BD6A8C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ерских </w:t>
      </w:r>
      <w:r w:rsidR="00914CDE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вода пре њиховог испуштања, као и да поштује граничне вредности прописане у Табели </w:t>
      </w:r>
      <w:r w:rsidR="00914CDE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>III-</w:t>
      </w:r>
      <w:r w:rsidR="00BD6A8C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>5</w:t>
      </w:r>
      <w:r w:rsidR="00AD4250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“ </w:t>
      </w:r>
      <w:r w:rsidR="00914CDE" w:rsidRPr="00AA61FA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sr-Latn-RS"/>
        </w:rPr>
        <w:t>.</w:t>
      </w:r>
    </w:p>
    <w:p w14:paraId="72495E7D" w14:textId="77777777" w:rsidR="00BC4197" w:rsidRPr="00AA61FA" w:rsidRDefault="00BC4197" w:rsidP="00BC4197">
      <w:pPr>
        <w:pStyle w:val="ListParagraph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</w:pPr>
    </w:p>
    <w:p w14:paraId="03BACF69" w14:textId="77777777" w:rsidR="00BC4197" w:rsidRDefault="00BC4197" w:rsidP="00BC4197">
      <w:pPr>
        <w:pStyle w:val="ListParagraph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</w:pPr>
    </w:p>
    <w:p w14:paraId="30B39522" w14:textId="77777777" w:rsidR="00806731" w:rsidRDefault="00806731" w:rsidP="00BC4197">
      <w:pPr>
        <w:pStyle w:val="ListParagraph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</w:pPr>
    </w:p>
    <w:p w14:paraId="746D16B6" w14:textId="77777777" w:rsidR="00806731" w:rsidRPr="00AA61FA" w:rsidRDefault="00806731" w:rsidP="00BC4197">
      <w:pPr>
        <w:pStyle w:val="ListParagraph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</w:pPr>
    </w:p>
    <w:p w14:paraId="180D2A66" w14:textId="77777777" w:rsidR="00BC4197" w:rsidRPr="00AA61FA" w:rsidRDefault="00BC4197" w:rsidP="00BC4197">
      <w:pPr>
        <w:pStyle w:val="ListParagraph"/>
        <w:jc w:val="both"/>
        <w:rPr>
          <w:rStyle w:val="Strong"/>
          <w:rFonts w:ascii="Times New Roman" w:hAnsi="Times New Roman" w:cs="Times New Roman"/>
          <w:sz w:val="24"/>
          <w:szCs w:val="24"/>
          <w:lang w:val="sr-Cyrl-RS"/>
        </w:rPr>
      </w:pPr>
      <w:r w:rsidRPr="00AA61FA">
        <w:rPr>
          <w:rStyle w:val="Strong"/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</w:t>
      </w:r>
      <w:r w:rsidRPr="00AA61FA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14:paraId="4C203C48" w14:textId="77777777" w:rsidR="00BC4197" w:rsidRPr="00AA61FA" w:rsidRDefault="00BC4197" w:rsidP="00E353A0">
      <w:pPr>
        <w:pStyle w:val="ListParagraph"/>
        <w:spacing w:after="0"/>
        <w:jc w:val="both"/>
        <w:rPr>
          <w:rStyle w:val="Strong"/>
          <w:rFonts w:ascii="Times New Roman" w:hAnsi="Times New Roman" w:cs="Times New Roman"/>
          <w:sz w:val="24"/>
          <w:szCs w:val="24"/>
          <w:lang w:val="sr-Cyrl-RS"/>
        </w:rPr>
      </w:pPr>
    </w:p>
    <w:p w14:paraId="0BB57CF6" w14:textId="61677737" w:rsidR="00951674" w:rsidRPr="00AA61FA" w:rsidRDefault="002F7E65" w:rsidP="00E353A0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Министарство пољопривреде и заштите животне средине је 16.03.2015.године, изда</w:t>
      </w:r>
      <w:r w:rsidR="00AD4250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л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о Решење о издавању интегрисане дозволе </w:t>
      </w:r>
      <w:r w:rsidR="00AD4250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ред.</w:t>
      </w:r>
      <w:r w:rsidR="00AF235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D4250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бр.</w:t>
      </w:r>
      <w:r w:rsidR="00AF235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D4250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4,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под бр. 353-01-00003/2012-05, оператеру „ Мессер Техногас“ АД Београд из Београда ( у даљем тексту: Оператер), за рад целокупног постројења и обављања активности производње и промета техничких и медицинских гасова и пратеће опреме, на локацији катастарске парцеле бр. 158/2, 159/1, 160/1, КО Стара Раковица, са роком важења од 10 година.</w:t>
      </w:r>
      <w:r w:rsidR="00B5230E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D4250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Прва ревизија ове интегрисане дозволе </w:t>
      </w:r>
      <w:r w:rsidR="00951674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урађена је 30.10.2018.</w:t>
      </w:r>
      <w:r w:rsidR="00B1285B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 xml:space="preserve"> </w:t>
      </w:r>
      <w:r w:rsidR="00951674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године, а</w:t>
      </w:r>
      <w:r w:rsidR="00AD4250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затим је </w:t>
      </w:r>
      <w:r w:rsidR="00951674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О</w:t>
      </w:r>
      <w:r w:rsidR="00AD4250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ператер поднео захтев за другу ревизију интегрисане дозволе </w:t>
      </w:r>
      <w:r w:rsidR="00951674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23.12.2021.године. </w:t>
      </w:r>
    </w:p>
    <w:p w14:paraId="003B3235" w14:textId="77777777" w:rsidR="00DD4D3F" w:rsidRDefault="00B5230E" w:rsidP="00E353A0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Операте</w:t>
      </w:r>
      <w:r w:rsidR="00834C38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р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је од </w:t>
      </w:r>
      <w:r w:rsidR="00951674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последње ревизије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интегрисане дозволе спровео неколико изме</w:t>
      </w:r>
      <w:r w:rsidR="00E94CF3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на од којих су најважније: </w:t>
      </w:r>
    </w:p>
    <w:p w14:paraId="302007BB" w14:textId="77777777" w:rsidR="00DD4D3F" w:rsidRDefault="00E94CF3" w:rsidP="00E353A0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Погон за производњу ацетилена </w:t>
      </w:r>
      <w:r w:rsidR="00951674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је </w:t>
      </w: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Одлуком Управе </w:t>
      </w:r>
      <w:r w:rsidR="00BD6A8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</w:t>
      </w:r>
      <w:r w:rsidR="00BD6A8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D6A8C" w:rsidRPr="00B26FDF">
        <w:rPr>
          <w:rFonts w:ascii="Times New Roman" w:hAnsi="Times New Roman" w:cs="Times New Roman"/>
          <w:sz w:val="24"/>
          <w:szCs w:val="24"/>
          <w:lang w:val="sr-Cyrl-RS"/>
        </w:rPr>
        <w:t>длука</w:t>
      </w:r>
      <w:r w:rsidR="00BD6A8C" w:rsidRPr="00373D09">
        <w:rPr>
          <w:rFonts w:ascii="Times New Roman" w:hAnsi="Times New Roman" w:cs="Times New Roman"/>
          <w:sz w:val="24"/>
          <w:szCs w:val="24"/>
        </w:rPr>
        <w:t xml:space="preserve"> </w:t>
      </w:r>
      <w:r w:rsidR="00BD6A8C" w:rsidRPr="002D478F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BD6A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D6A8C" w:rsidRPr="002D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6A8C" w:rsidRPr="00373D09">
        <w:rPr>
          <w:rFonts w:ascii="Times New Roman" w:hAnsi="Times New Roman" w:cs="Times New Roman"/>
          <w:sz w:val="24"/>
          <w:szCs w:val="24"/>
        </w:rPr>
        <w:t>2358</w:t>
      </w:r>
      <w:r w:rsidR="00BD6A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6A8C" w:rsidRPr="00320586">
        <w:rPr>
          <w:rFonts w:ascii="Times New Roman" w:hAnsi="Times New Roman" w:cs="Times New Roman"/>
          <w:sz w:val="24"/>
          <w:szCs w:val="24"/>
          <w:lang w:val="sr-Cyrl-RS"/>
        </w:rPr>
        <w:t xml:space="preserve">од дана </w:t>
      </w:r>
      <w:r w:rsidR="00BD6A8C" w:rsidRPr="00320586">
        <w:rPr>
          <w:rFonts w:ascii="Times New Roman" w:hAnsi="Times New Roman" w:cs="Times New Roman"/>
          <w:sz w:val="24"/>
          <w:szCs w:val="24"/>
        </w:rPr>
        <w:t>26.04.2021.</w:t>
      </w:r>
      <w:r w:rsidR="00BD6A8C" w:rsidRPr="00320586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BD6A8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D6A8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1285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трајно </w:t>
      </w: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престао са радом</w:t>
      </w:r>
      <w:r w:rsidR="00BD6A8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. </w:t>
      </w:r>
    </w:p>
    <w:p w14:paraId="4C87A4EF" w14:textId="7A01BF97" w:rsidR="007C02F7" w:rsidRPr="00AA61FA" w:rsidRDefault="00951674" w:rsidP="00E353A0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К</w:t>
      </w:r>
      <w:r w:rsidR="00E94CF3" w:rsidRPr="00BD679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отларница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на лож уље је престала са радом такође, </w:t>
      </w:r>
      <w:r w:rsidR="00E94CF3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у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њој</w:t>
      </w:r>
      <w:r w:rsidR="00E94CF3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је опрема демонтирана и предата </w:t>
      </w:r>
      <w:r w:rsidR="00BD6A8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овлашћеном оператеру </w:t>
      </w:r>
      <w:r w:rsidR="00E94CF3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на рециклажу</w:t>
      </w:r>
      <w:r w:rsidR="007C02F7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C02F7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Крајем 2016.</w:t>
      </w:r>
      <w:r w:rsidR="00B1285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C02F7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године постављени су нови гасни генератори за грејање локације који користе искључиво земни гас за</w:t>
      </w:r>
      <w:r w:rsidR="00914CDE" w:rsidRPr="00AA61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C02F7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загревање простора локације. Тиме је искључена потреба коришћења лож уља из подземног резервоара ка</w:t>
      </w:r>
      <w:r w:rsidR="00914CDE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о алтернатива за грејање, </w:t>
      </w:r>
      <w:r w:rsidR="007C02F7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резервоар за лож уље </w:t>
      </w:r>
      <w:r w:rsidR="00914CDE" w:rsidRPr="00AA61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je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демонтиран </w:t>
      </w:r>
      <w:r w:rsidR="007C02F7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и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предат </w:t>
      </w:r>
      <w:r w:rsidR="007C02F7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овлашћеној фирми на рециклажу</w:t>
      </w:r>
      <w:r w:rsidR="00BD6A8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о чему је </w:t>
      </w:r>
      <w:r w:rsidR="00B2166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оператер </w:t>
      </w:r>
      <w:r w:rsidR="00BD6A8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доставио одговарајућа документа.</w:t>
      </w:r>
    </w:p>
    <w:p w14:paraId="6251CB3C" w14:textId="65B6461C" w:rsidR="00DD4D3F" w:rsidRDefault="007C02F7" w:rsidP="00E353A0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Простори који су изграђени за потребе транспорта и пратећих служби</w:t>
      </w:r>
      <w:r w:rsidR="00B2166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а кој</w:t>
      </w:r>
      <w:r w:rsidR="00B1285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е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су сачињавали хала, магацини и радионице у оквиру пословног простора</w:t>
      </w:r>
      <w:r w:rsidR="00B2166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су након исељења служби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</w:rPr>
        <w:t>Cryo servisa i Castolaba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на другу локацију</w:t>
      </w:r>
      <w:r w:rsidR="00B2166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остали празни </w:t>
      </w:r>
      <w:r w:rsidR="00B2166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и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за сада без намене</w:t>
      </w:r>
      <w:r w:rsidR="00B2166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осим спрата административних просторија у којима је смештена архива фирме.</w:t>
      </w:r>
    </w:p>
    <w:p w14:paraId="0ACF4E2D" w14:textId="1FDF9A1B" w:rsidR="00BC4197" w:rsidRPr="00AA61FA" w:rsidRDefault="00E94CF3" w:rsidP="00E353A0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Подземни резервоар ацетона запремине 25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</w:rPr>
        <w:t>m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vertAlign w:val="superscript"/>
        </w:rPr>
        <w:t>3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извађен је и предат </w:t>
      </w:r>
      <w:r w:rsidR="00B2166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овлашћеној фирми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на рециклажу.</w:t>
      </w:r>
    </w:p>
    <w:p w14:paraId="4DF6D6A9" w14:textId="472E9BFF" w:rsidR="007C3894" w:rsidRPr="00AA61FA" w:rsidRDefault="00B54BA3" w:rsidP="00E353A0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Престанком рада погона за производњу ацетилена, технолошке отпадне воде из погона  азот-субоксида се и </w:t>
      </w:r>
      <w:r w:rsidR="00B1285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даље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одводе у исте сабирне базене</w:t>
      </w:r>
      <w:r w:rsidR="0062069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а затим се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у складу са добијеном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lastRenderedPageBreak/>
        <w:t xml:space="preserve">Водном дозволом, цистернама одвозе у погон за производњу ацетилена у Краљеву и на идентичан начин у потпуности користе у производњи ацетилена као што су се користиле у погону за производњу ацетилена у Београду док је био у функцији. За транспорт технолошких вода до фабрике у Краљеву </w:t>
      </w:r>
      <w:r w:rsidR="00951674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се 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издвајају знатна финансијска средства </w:t>
      </w:r>
      <w:r w:rsidR="00951674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па се ово сматра привременим решењем и О</w:t>
      </w: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ператер је </w:t>
      </w:r>
      <w:r w:rsidR="007C3894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у поступку проналаска економичнијег</w:t>
      </w:r>
      <w:r w:rsidR="00B2166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и еколошки бољег</w:t>
      </w:r>
      <w:r w:rsidR="007C3894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решења у њиховом даљем коришћењу.</w:t>
      </w:r>
    </w:p>
    <w:p w14:paraId="025B1C9E" w14:textId="7F016350" w:rsidR="00DD4D3F" w:rsidRPr="00AA61FA" w:rsidRDefault="002A643B" w:rsidP="00E353A0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Захтев за ревизију интегрисане дозволе од стране Оператера ,,Мессер Техногас“ а.д. Београд оглашен је на сајту Министарства заштите животне средине дана 22.03.2022.године.</w:t>
      </w:r>
      <w:r w:rsidR="00B2166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hyperlink r:id="rId7" w:history="1">
        <w:r w:rsidR="00B21664" w:rsidRPr="00DD4D3F">
          <w:rPr>
            <w:rStyle w:val="Hyperlink"/>
            <w:rFonts w:ascii="Times New Roman" w:hAnsi="Times New Roman" w:cs="Times New Roman"/>
            <w:sz w:val="24"/>
            <w:szCs w:val="24"/>
          </w:rPr>
          <w:t>www.ekologija.gov.rs/obavestenja</w:t>
        </w:r>
      </w:hyperlink>
      <w:r w:rsidR="00B21664" w:rsidRPr="00DD4D3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2166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 </w:t>
      </w:r>
      <w:r w:rsidR="006656B1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пријему захтева за ревизију интегрисане дозволе јавност је обавештена путем оглашавања у дневном листу ,,Ало“ дана 23.03.2022.године. На захтев за ревизију интегрисане дозволе није било мишљења од стране заинтересоване јавности.</w:t>
      </w:r>
      <w:r w:rsidR="00B2166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1674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О пријему захтева такође су писмено обавештени и Градска општина Раковица, Градски секретаријат за заштиту животне средине града Београда, Завод за заштиту природе Србије и Министарство пољопривреде, шумарства и водопривреде, </w:t>
      </w:r>
      <w:r w:rsidR="00967E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951674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Републичка дирекција за воде. </w:t>
      </w:r>
      <w:r w:rsidR="00B2166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Позитивно м</w:t>
      </w:r>
      <w:r w:rsidR="00951674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ишљења на захтев за ревизију интегрисане дозволе</w:t>
      </w:r>
      <w:r w:rsidR="00AA61FA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2166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достављено је </w:t>
      </w:r>
      <w:r w:rsidR="00AA61FA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од стране </w:t>
      </w:r>
      <w:r w:rsidR="00B21664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Завод</w:t>
      </w:r>
      <w:r w:rsidR="00B2166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="00B21664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за заштиту природе Србије </w:t>
      </w:r>
      <w:r w:rsidR="00B2166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док од осталих институција мишљења на захтев</w:t>
      </w:r>
      <w:r w:rsidR="00951674" w:rsidRPr="00AA61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нису достављена.</w:t>
      </w:r>
    </w:p>
    <w:p w14:paraId="62E7BF14" w14:textId="35ABF661" w:rsidR="005B6838" w:rsidRPr="00DD4D3F" w:rsidRDefault="005B6838" w:rsidP="00E35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6838" w:rsidRPr="00DD4D3F" w:rsidSect="009C3732"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867"/>
    <w:multiLevelType w:val="hybridMultilevel"/>
    <w:tmpl w:val="060C3A68"/>
    <w:lvl w:ilvl="0" w:tplc="1182192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268ED"/>
    <w:multiLevelType w:val="hybridMultilevel"/>
    <w:tmpl w:val="E6642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A1C5C"/>
    <w:multiLevelType w:val="hybridMultilevel"/>
    <w:tmpl w:val="E96E9E70"/>
    <w:lvl w:ilvl="0" w:tplc="5198C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534788"/>
    <w:multiLevelType w:val="hybridMultilevel"/>
    <w:tmpl w:val="E6642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47"/>
    <w:rsid w:val="00013251"/>
    <w:rsid w:val="000154B4"/>
    <w:rsid w:val="00024759"/>
    <w:rsid w:val="000360AB"/>
    <w:rsid w:val="0007268B"/>
    <w:rsid w:val="000B1B7E"/>
    <w:rsid w:val="000B22FA"/>
    <w:rsid w:val="000B2A74"/>
    <w:rsid w:val="000B37FF"/>
    <w:rsid w:val="000D5CD6"/>
    <w:rsid w:val="000F23ED"/>
    <w:rsid w:val="00117540"/>
    <w:rsid w:val="00156829"/>
    <w:rsid w:val="0019530E"/>
    <w:rsid w:val="001F7925"/>
    <w:rsid w:val="00201079"/>
    <w:rsid w:val="002238FA"/>
    <w:rsid w:val="002249F3"/>
    <w:rsid w:val="002556C6"/>
    <w:rsid w:val="002706B4"/>
    <w:rsid w:val="00276773"/>
    <w:rsid w:val="002834A9"/>
    <w:rsid w:val="002A3299"/>
    <w:rsid w:val="002A643B"/>
    <w:rsid w:val="002D702A"/>
    <w:rsid w:val="002E63D6"/>
    <w:rsid w:val="002F7E65"/>
    <w:rsid w:val="00320D65"/>
    <w:rsid w:val="003326E4"/>
    <w:rsid w:val="00340219"/>
    <w:rsid w:val="00362495"/>
    <w:rsid w:val="003816FD"/>
    <w:rsid w:val="003C5DF3"/>
    <w:rsid w:val="003D702B"/>
    <w:rsid w:val="00403C4B"/>
    <w:rsid w:val="00411A3D"/>
    <w:rsid w:val="004219C1"/>
    <w:rsid w:val="00430CB3"/>
    <w:rsid w:val="00443B8A"/>
    <w:rsid w:val="00493015"/>
    <w:rsid w:val="004B3EE0"/>
    <w:rsid w:val="00511315"/>
    <w:rsid w:val="00554B9D"/>
    <w:rsid w:val="0056298C"/>
    <w:rsid w:val="005939E2"/>
    <w:rsid w:val="005B6838"/>
    <w:rsid w:val="005D3BD1"/>
    <w:rsid w:val="005F32C1"/>
    <w:rsid w:val="00611967"/>
    <w:rsid w:val="0061452A"/>
    <w:rsid w:val="0062069F"/>
    <w:rsid w:val="00626E12"/>
    <w:rsid w:val="006522D3"/>
    <w:rsid w:val="006524BA"/>
    <w:rsid w:val="006656B1"/>
    <w:rsid w:val="00685AB3"/>
    <w:rsid w:val="006A45E8"/>
    <w:rsid w:val="006B2F0D"/>
    <w:rsid w:val="00714575"/>
    <w:rsid w:val="007377D6"/>
    <w:rsid w:val="00750C39"/>
    <w:rsid w:val="00771E8E"/>
    <w:rsid w:val="0078409E"/>
    <w:rsid w:val="007A7486"/>
    <w:rsid w:val="007C02F7"/>
    <w:rsid w:val="007C35E6"/>
    <w:rsid w:val="007C3894"/>
    <w:rsid w:val="007E03AB"/>
    <w:rsid w:val="00806731"/>
    <w:rsid w:val="0082463F"/>
    <w:rsid w:val="00834C38"/>
    <w:rsid w:val="008518E1"/>
    <w:rsid w:val="00874803"/>
    <w:rsid w:val="008A21EB"/>
    <w:rsid w:val="008A6D84"/>
    <w:rsid w:val="008A7A55"/>
    <w:rsid w:val="008B22AE"/>
    <w:rsid w:val="008F5A6D"/>
    <w:rsid w:val="00914CDE"/>
    <w:rsid w:val="009214A1"/>
    <w:rsid w:val="00951480"/>
    <w:rsid w:val="00951674"/>
    <w:rsid w:val="00956774"/>
    <w:rsid w:val="00960A9B"/>
    <w:rsid w:val="00967EFA"/>
    <w:rsid w:val="009746C0"/>
    <w:rsid w:val="00980CAE"/>
    <w:rsid w:val="00997BB5"/>
    <w:rsid w:val="009C3732"/>
    <w:rsid w:val="009D76AA"/>
    <w:rsid w:val="009E24F6"/>
    <w:rsid w:val="009E2C49"/>
    <w:rsid w:val="009F5E8E"/>
    <w:rsid w:val="00A71E15"/>
    <w:rsid w:val="00A7304A"/>
    <w:rsid w:val="00A841C2"/>
    <w:rsid w:val="00A905C9"/>
    <w:rsid w:val="00AA26D7"/>
    <w:rsid w:val="00AA61FA"/>
    <w:rsid w:val="00AB5C9A"/>
    <w:rsid w:val="00AD4250"/>
    <w:rsid w:val="00AE194E"/>
    <w:rsid w:val="00AE7E81"/>
    <w:rsid w:val="00AF2352"/>
    <w:rsid w:val="00B1285B"/>
    <w:rsid w:val="00B13F00"/>
    <w:rsid w:val="00B21664"/>
    <w:rsid w:val="00B26FDF"/>
    <w:rsid w:val="00B30B75"/>
    <w:rsid w:val="00B31CB9"/>
    <w:rsid w:val="00B45005"/>
    <w:rsid w:val="00B5230E"/>
    <w:rsid w:val="00B54BA3"/>
    <w:rsid w:val="00BA3774"/>
    <w:rsid w:val="00BC2438"/>
    <w:rsid w:val="00BC4197"/>
    <w:rsid w:val="00BD6791"/>
    <w:rsid w:val="00BD6A8C"/>
    <w:rsid w:val="00BE3DC8"/>
    <w:rsid w:val="00BF247D"/>
    <w:rsid w:val="00BF4FAE"/>
    <w:rsid w:val="00C07B7E"/>
    <w:rsid w:val="00C15917"/>
    <w:rsid w:val="00C33870"/>
    <w:rsid w:val="00C41FFC"/>
    <w:rsid w:val="00C42C9B"/>
    <w:rsid w:val="00C83947"/>
    <w:rsid w:val="00D11F90"/>
    <w:rsid w:val="00D72BCC"/>
    <w:rsid w:val="00D74C9A"/>
    <w:rsid w:val="00DD4D3F"/>
    <w:rsid w:val="00DE3430"/>
    <w:rsid w:val="00DF4BF1"/>
    <w:rsid w:val="00DF5C47"/>
    <w:rsid w:val="00E353A0"/>
    <w:rsid w:val="00E621EF"/>
    <w:rsid w:val="00E76FA4"/>
    <w:rsid w:val="00E84946"/>
    <w:rsid w:val="00E8529F"/>
    <w:rsid w:val="00E94CF3"/>
    <w:rsid w:val="00EA3A41"/>
    <w:rsid w:val="00EC3EDC"/>
    <w:rsid w:val="00F02A30"/>
    <w:rsid w:val="00F302C5"/>
    <w:rsid w:val="00F54F3A"/>
    <w:rsid w:val="00F57FA0"/>
    <w:rsid w:val="00F63377"/>
    <w:rsid w:val="00F74308"/>
    <w:rsid w:val="00F76861"/>
    <w:rsid w:val="00F93ABB"/>
    <w:rsid w:val="00FA10B2"/>
    <w:rsid w:val="00FA58B7"/>
    <w:rsid w:val="00FB3B63"/>
    <w:rsid w:val="00FC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C55E"/>
  <w15:docId w15:val="{6BFD94C7-68A1-44E1-AD86-7FA48325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2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C33870"/>
    <w:rPr>
      <w:b/>
      <w:bCs/>
    </w:rPr>
  </w:style>
  <w:style w:type="paragraph" w:styleId="ListParagraph">
    <w:name w:val="List Paragraph"/>
    <w:basedOn w:val="Normal"/>
    <w:uiPriority w:val="34"/>
    <w:qFormat/>
    <w:rsid w:val="00C33870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AE194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1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4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kologija.gov.rs/obavesten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21E3-3968-46CA-9A38-07BA2899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Disic</dc:creator>
  <cp:lastModifiedBy>Ivana Milosevic</cp:lastModifiedBy>
  <cp:revision>9</cp:revision>
  <cp:lastPrinted>2022-05-23T08:32:00Z</cp:lastPrinted>
  <dcterms:created xsi:type="dcterms:W3CDTF">2022-05-23T07:37:00Z</dcterms:created>
  <dcterms:modified xsi:type="dcterms:W3CDTF">2022-06-02T11:10:00Z</dcterms:modified>
</cp:coreProperties>
</file>