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B553EE" w14:textId="77777777" w:rsidR="00C36331" w:rsidRDefault="00C36331" w:rsidP="00C36331">
      <w:pPr>
        <w:pStyle w:val="Heading1"/>
        <w:spacing w:after="0" w:line="240" w:lineRule="auto"/>
        <w:jc w:val="center"/>
        <w:rPr>
          <w:lang w:val="sr-Latn-RS"/>
        </w:rPr>
      </w:pPr>
      <w:r>
        <w:rPr>
          <w:lang w:val="sr-Cyrl-RS"/>
        </w:rPr>
        <w:t>ИЗВЕШТАЈ</w:t>
      </w:r>
    </w:p>
    <w:p w14:paraId="5ED4D3F8" w14:textId="2801C23B" w:rsidR="00B21445" w:rsidRPr="00C36331" w:rsidRDefault="00C36331" w:rsidP="00C36331">
      <w:pPr>
        <w:spacing w:line="276" w:lineRule="auto"/>
        <w:jc w:val="center"/>
        <w:rPr>
          <w:rFonts w:cstheme="minorHAnsi"/>
          <w:lang w:val="sr-Cyrl-RS"/>
        </w:rPr>
      </w:pPr>
      <w:r w:rsidRPr="0003787D">
        <w:rPr>
          <w:b/>
          <w:bCs/>
          <w:lang w:val="sr-Cyrl-RS"/>
        </w:rPr>
        <w:t xml:space="preserve">о учешћу заинтересованих органа и организација и јавности у процесу израде Извештаја о стратешкој процени утицаја на животну средину </w:t>
      </w:r>
      <w:bookmarkStart w:id="0" w:name="_Hlk187315883"/>
      <w:r w:rsidRPr="009404B5">
        <w:rPr>
          <w:b/>
          <w:bCs/>
          <w:lang w:val="sr-Cyrl-RS"/>
        </w:rPr>
        <w:t xml:space="preserve">Стратегије заштите животне средине – Зелена агенда за Србију </w:t>
      </w:r>
      <w:bookmarkEnd w:id="0"/>
      <w:r w:rsidRPr="009404B5">
        <w:rPr>
          <w:b/>
          <w:bCs/>
          <w:lang w:val="sr-Cyrl-RS"/>
        </w:rPr>
        <w:t>са А</w:t>
      </w:r>
      <w:r>
        <w:rPr>
          <w:b/>
          <w:bCs/>
          <w:lang w:val="sr-Cyrl-RS"/>
        </w:rPr>
        <w:t>кционим планом</w:t>
      </w:r>
    </w:p>
    <w:p w14:paraId="325897C1" w14:textId="77777777" w:rsidR="00C36331" w:rsidRDefault="00C36331" w:rsidP="00C36331">
      <w:pPr>
        <w:ind w:firstLine="720"/>
        <w:jc w:val="both"/>
        <w:rPr>
          <w:bCs/>
          <w:sz w:val="22"/>
          <w:szCs w:val="22"/>
          <w:lang w:val="sr-Latn-RS"/>
        </w:rPr>
      </w:pPr>
    </w:p>
    <w:p w14:paraId="74C4E1B8" w14:textId="3F17DE1C" w:rsidR="00C36331" w:rsidRPr="00C36331" w:rsidRDefault="00C36331" w:rsidP="00C36331">
      <w:pPr>
        <w:pStyle w:val="ListParagraph"/>
        <w:spacing w:beforeLines="50" w:before="120" w:afterLines="50" w:after="120" w:line="276" w:lineRule="auto"/>
        <w:ind w:left="0"/>
        <w:jc w:val="both"/>
        <w:rPr>
          <w:sz w:val="22"/>
          <w:szCs w:val="22"/>
          <w:lang w:val="sr-Cyrl-RS"/>
        </w:rPr>
      </w:pPr>
      <w:r w:rsidRPr="00C36331">
        <w:rPr>
          <w:bCs/>
          <w:sz w:val="22"/>
          <w:szCs w:val="22"/>
          <w:lang w:val="sr-Cyrl-RS"/>
        </w:rPr>
        <w:t xml:space="preserve">Текст Нацрта Извештаја о стратешкој процени утицаја на животну средину Стратегије заштите животне средине – Зелена агенда за Србију са Акционим планом </w:t>
      </w:r>
      <w:r w:rsidR="00701B3C">
        <w:rPr>
          <w:sz w:val="22"/>
          <w:szCs w:val="22"/>
          <w:lang w:val="sr-Cyrl-RS"/>
        </w:rPr>
        <w:t>први пут</w:t>
      </w:r>
      <w:r w:rsidRPr="00C36331">
        <w:rPr>
          <w:sz w:val="22"/>
          <w:szCs w:val="22"/>
          <w:lang w:val="sr-Cyrl-RS"/>
        </w:rPr>
        <w:t xml:space="preserve"> је </w:t>
      </w:r>
      <w:r w:rsidR="00701B3C">
        <w:rPr>
          <w:sz w:val="22"/>
          <w:szCs w:val="22"/>
          <w:lang w:val="sr-Cyrl-RS"/>
        </w:rPr>
        <w:t xml:space="preserve">био </w:t>
      </w:r>
      <w:r w:rsidRPr="00C36331">
        <w:rPr>
          <w:sz w:val="22"/>
          <w:szCs w:val="22"/>
          <w:lang w:val="sr-Cyrl-RS"/>
        </w:rPr>
        <w:t xml:space="preserve">објављен на интернет страници Министарства заштите животне средине, на Порталу „еKonsultacije“, у периоду од 3. септембра до 3. октобра 2024. године. Ово објављивање је представљало ране јавне консултације, у периоду од месец дана, у којим су сва заинтересована лица и организације имале прилику да примедбе, предлоге, сугестије и коментаре доставе искључиво електронски путем. </w:t>
      </w:r>
    </w:p>
    <w:p w14:paraId="40143DFD" w14:textId="77777777" w:rsidR="00C36331" w:rsidRPr="00C36331" w:rsidRDefault="00C36331" w:rsidP="00701B3C">
      <w:pPr>
        <w:pStyle w:val="ListParagraph"/>
        <w:spacing w:beforeLines="50" w:before="120" w:line="276" w:lineRule="auto"/>
        <w:ind w:left="0"/>
        <w:jc w:val="both"/>
        <w:rPr>
          <w:sz w:val="22"/>
          <w:szCs w:val="22"/>
          <w:lang w:val="sr-Cyrl-RS"/>
        </w:rPr>
      </w:pPr>
      <w:r w:rsidRPr="00C36331">
        <w:rPr>
          <w:sz w:val="22"/>
          <w:szCs w:val="22"/>
          <w:lang w:val="sr-Cyrl-RS"/>
        </w:rPr>
        <w:t>Као резултат спроведених раних јавних консултација од 3. септембра до 3. октобра 2024. године, Министарству заштите животне средине достављени су коментари, примедбе и сугестије на Нацрт Извештаја о стратешкој процени утицаја на животну средину предметне стратегије. Пристигли су коментари, мишљења, примедбе, предлози и сугестије од стране:</w:t>
      </w:r>
    </w:p>
    <w:p w14:paraId="639AED59" w14:textId="77777777" w:rsidR="00C36331" w:rsidRPr="00C36331" w:rsidRDefault="00C36331" w:rsidP="00C36331">
      <w:pPr>
        <w:pStyle w:val="ListParagraph"/>
        <w:numPr>
          <w:ilvl w:val="0"/>
          <w:numId w:val="4"/>
        </w:numPr>
        <w:spacing w:line="276" w:lineRule="auto"/>
        <w:ind w:left="426" w:hanging="186"/>
        <w:jc w:val="both"/>
        <w:rPr>
          <w:sz w:val="22"/>
          <w:szCs w:val="22"/>
          <w:lang w:val="sr-Cyrl-RS"/>
        </w:rPr>
      </w:pPr>
      <w:r w:rsidRPr="00C36331">
        <w:rPr>
          <w:sz w:val="22"/>
          <w:szCs w:val="22"/>
          <w:lang w:val="sr-Cyrl-RS"/>
        </w:rPr>
        <w:t>Привредне коморе Србије;</w:t>
      </w:r>
    </w:p>
    <w:p w14:paraId="49905263" w14:textId="77777777" w:rsidR="00C36331" w:rsidRPr="00C36331" w:rsidRDefault="00C36331" w:rsidP="00C36331">
      <w:pPr>
        <w:pStyle w:val="ListParagraph"/>
        <w:numPr>
          <w:ilvl w:val="0"/>
          <w:numId w:val="4"/>
        </w:numPr>
        <w:spacing w:line="276" w:lineRule="auto"/>
        <w:ind w:left="426" w:hanging="186"/>
        <w:jc w:val="both"/>
        <w:rPr>
          <w:sz w:val="22"/>
          <w:szCs w:val="22"/>
          <w:lang w:val="sr-Cyrl-RS"/>
        </w:rPr>
      </w:pPr>
      <w:r w:rsidRPr="00C36331">
        <w:rPr>
          <w:sz w:val="22"/>
          <w:szCs w:val="22"/>
          <w:lang w:val="sr-Cyrl-RS"/>
        </w:rPr>
        <w:t>Регулаторног института за обновљиву енергију и животну средину (РЕРИ).</w:t>
      </w:r>
    </w:p>
    <w:p w14:paraId="40B57EC0" w14:textId="17278F48" w:rsidR="00C36331" w:rsidRPr="00C36331" w:rsidRDefault="00C36331" w:rsidP="00C36331">
      <w:pPr>
        <w:pStyle w:val="ListParagraph"/>
        <w:spacing w:beforeLines="50" w:before="120" w:afterLines="50" w:after="120" w:line="276" w:lineRule="auto"/>
        <w:ind w:left="0"/>
        <w:jc w:val="both"/>
        <w:rPr>
          <w:sz w:val="22"/>
          <w:szCs w:val="22"/>
          <w:lang w:val="sr-Cyrl-RS"/>
        </w:rPr>
      </w:pPr>
      <w:r w:rsidRPr="00C36331">
        <w:rPr>
          <w:sz w:val="22"/>
          <w:szCs w:val="22"/>
          <w:lang w:val="sr-Cyrl-RS"/>
        </w:rPr>
        <w:t>После завршетка јавних консултација, размотрене су све пристигле примедбе, предлози и сугестије. Укупно је пристигло 10 коментара на документ Извештаја о стратешкој процени утицаја на животну средину. Од примљених 10 коментара на Нацрт Извештаја о стратешкој процени утицаја на животну средину предметне стратегије, усвојено</w:t>
      </w:r>
      <w:r w:rsidR="00701B3C">
        <w:rPr>
          <w:sz w:val="22"/>
          <w:szCs w:val="22"/>
          <w:lang w:val="sr-Cyrl-RS"/>
        </w:rPr>
        <w:t xml:space="preserve"> је</w:t>
      </w:r>
      <w:r w:rsidRPr="00C36331">
        <w:rPr>
          <w:sz w:val="22"/>
          <w:szCs w:val="22"/>
          <w:lang w:val="sr-Cyrl-RS"/>
        </w:rPr>
        <w:t xml:space="preserve"> или делимично усвојено 4, а није прихваћено 6 коментара. </w:t>
      </w:r>
    </w:p>
    <w:p w14:paraId="46436552" w14:textId="0286FB60" w:rsidR="00894C64" w:rsidRPr="00894C64" w:rsidRDefault="00894C64" w:rsidP="00894C64">
      <w:pPr>
        <w:spacing w:line="276" w:lineRule="auto"/>
        <w:jc w:val="both"/>
        <w:rPr>
          <w:bCs/>
          <w:sz w:val="22"/>
          <w:szCs w:val="22"/>
          <w:lang w:val="sr-Cyrl-RS"/>
        </w:rPr>
      </w:pPr>
      <w:r>
        <w:rPr>
          <w:bCs/>
          <w:sz w:val="22"/>
          <w:szCs w:val="22"/>
          <w:lang w:val="sr-Cyrl-RS"/>
        </w:rPr>
        <w:t>Ј</w:t>
      </w:r>
      <w:r w:rsidRPr="00894C64">
        <w:rPr>
          <w:bCs/>
          <w:sz w:val="22"/>
          <w:szCs w:val="22"/>
          <w:lang w:val="sr-Cyrl-RS"/>
        </w:rPr>
        <w:t>авно представљање</w:t>
      </w:r>
      <w:r>
        <w:rPr>
          <w:bCs/>
          <w:sz w:val="22"/>
          <w:szCs w:val="22"/>
          <w:lang w:val="sr-Cyrl-RS"/>
        </w:rPr>
        <w:t xml:space="preserve"> нацрта</w:t>
      </w:r>
      <w:r w:rsidRPr="00894C64">
        <w:rPr>
          <w:bCs/>
          <w:sz w:val="22"/>
          <w:szCs w:val="22"/>
          <w:lang w:val="sr-Cyrl-RS"/>
        </w:rPr>
        <w:t xml:space="preserve"> Извештаја о стратешкој процени утицаја, које је организовано заједно са представљањем Предлога стратегије заштите животне средине</w:t>
      </w:r>
      <w:r w:rsidR="007F0B6E">
        <w:rPr>
          <w:bCs/>
          <w:sz w:val="22"/>
          <w:szCs w:val="22"/>
          <w:lang w:val="sr-Cyrl-RS"/>
        </w:rPr>
        <w:t xml:space="preserve"> </w:t>
      </w:r>
      <w:r w:rsidRPr="009404B5">
        <w:rPr>
          <w:bCs/>
          <w:sz w:val="22"/>
          <w:szCs w:val="22"/>
          <w:lang w:val="sr-Cyrl-RS"/>
        </w:rPr>
        <w:t xml:space="preserve">– Зелена Агенда </w:t>
      </w:r>
      <w:r w:rsidR="007F0B6E" w:rsidRPr="00C36331">
        <w:rPr>
          <w:bCs/>
          <w:sz w:val="22"/>
          <w:szCs w:val="22"/>
          <w:lang w:val="sr-Cyrl-RS"/>
        </w:rPr>
        <w:t>са Акционим планом</w:t>
      </w:r>
      <w:r w:rsidRPr="00894C64">
        <w:rPr>
          <w:bCs/>
          <w:sz w:val="22"/>
          <w:szCs w:val="22"/>
          <w:lang w:val="sr-Cyrl-RS"/>
        </w:rPr>
        <w:t xml:space="preserve">, </w:t>
      </w:r>
      <w:r>
        <w:rPr>
          <w:bCs/>
          <w:sz w:val="22"/>
          <w:szCs w:val="22"/>
          <w:lang w:val="sr-Cyrl-RS"/>
        </w:rPr>
        <w:t xml:space="preserve">и јавна расправа након презентације одржано је </w:t>
      </w:r>
      <w:r w:rsidRPr="00894C64">
        <w:rPr>
          <w:bCs/>
          <w:sz w:val="22"/>
          <w:szCs w:val="22"/>
          <w:lang w:val="sr-Cyrl-RS"/>
        </w:rPr>
        <w:t>дана 4.</w:t>
      </w:r>
      <w:r w:rsidR="00E00C40">
        <w:rPr>
          <w:bCs/>
          <w:sz w:val="22"/>
          <w:szCs w:val="22"/>
          <w:lang w:val="sr-Cyrl-RS"/>
        </w:rPr>
        <w:t>12.</w:t>
      </w:r>
      <w:r w:rsidRPr="00894C64">
        <w:rPr>
          <w:bCs/>
          <w:sz w:val="22"/>
          <w:szCs w:val="22"/>
          <w:lang w:val="sr-Cyrl-RS"/>
        </w:rPr>
        <w:t>2024. године, у простроријама „Envoy Conference Center“, у Београду.</w:t>
      </w:r>
    </w:p>
    <w:p w14:paraId="0C235552" w14:textId="0F664D72" w:rsidR="00C36331" w:rsidRPr="009404B5" w:rsidRDefault="00894C64" w:rsidP="00894C64">
      <w:pPr>
        <w:spacing w:line="276" w:lineRule="auto"/>
        <w:jc w:val="both"/>
        <w:rPr>
          <w:bCs/>
          <w:sz w:val="22"/>
          <w:szCs w:val="22"/>
          <w:lang w:val="sr-Cyrl-RS"/>
        </w:rPr>
      </w:pPr>
      <w:r w:rsidRPr="009404B5">
        <w:rPr>
          <w:bCs/>
          <w:sz w:val="22"/>
          <w:szCs w:val="22"/>
          <w:lang w:val="sr-Cyrl-RS"/>
        </w:rPr>
        <w:t xml:space="preserve">Јавни увид Нацрта Извештаја о СПУ Стратегије заштите животне средине – Зелена Агенда са АП </w:t>
      </w:r>
      <w:r>
        <w:rPr>
          <w:bCs/>
          <w:sz w:val="22"/>
          <w:szCs w:val="22"/>
          <w:lang w:val="sr-Cyrl-RS"/>
        </w:rPr>
        <w:t xml:space="preserve">трајао је </w:t>
      </w:r>
      <w:r w:rsidR="00701B3C">
        <w:rPr>
          <w:bCs/>
          <w:sz w:val="22"/>
          <w:szCs w:val="22"/>
          <w:lang w:val="sr-Cyrl-RS"/>
        </w:rPr>
        <w:t xml:space="preserve">у периоду </w:t>
      </w:r>
      <w:r w:rsidRPr="009404B5">
        <w:rPr>
          <w:bCs/>
          <w:sz w:val="22"/>
          <w:szCs w:val="22"/>
          <w:lang w:val="sr-Cyrl-RS"/>
        </w:rPr>
        <w:t>од 4.12.2024. до 24.12.2024. г</w:t>
      </w:r>
      <w:r w:rsidR="007F0B6E">
        <w:rPr>
          <w:bCs/>
          <w:sz w:val="22"/>
          <w:szCs w:val="22"/>
          <w:lang w:val="sr-Cyrl-RS"/>
        </w:rPr>
        <w:t>одине</w:t>
      </w:r>
      <w:r w:rsidRPr="009404B5">
        <w:rPr>
          <w:bCs/>
          <w:sz w:val="22"/>
          <w:szCs w:val="22"/>
          <w:lang w:val="sr-Cyrl-RS"/>
        </w:rPr>
        <w:t xml:space="preserve">. </w:t>
      </w:r>
    </w:p>
    <w:p w14:paraId="428CE8FB" w14:textId="132A30B4" w:rsidR="00C36331" w:rsidRPr="009404B5" w:rsidRDefault="00C36331" w:rsidP="003D3ED3">
      <w:pPr>
        <w:spacing w:line="276" w:lineRule="auto"/>
        <w:jc w:val="both"/>
        <w:rPr>
          <w:bCs/>
          <w:sz w:val="22"/>
          <w:szCs w:val="22"/>
          <w:lang w:val="sr-Cyrl-RS"/>
        </w:rPr>
      </w:pPr>
      <w:r w:rsidRPr="009404B5">
        <w:rPr>
          <w:bCs/>
          <w:sz w:val="22"/>
          <w:szCs w:val="22"/>
          <w:lang w:val="sr-Cyrl-RS"/>
        </w:rPr>
        <w:t>У току Јавног увида достављен</w:t>
      </w:r>
      <w:r w:rsidR="00701B3C">
        <w:rPr>
          <w:bCs/>
          <w:sz w:val="22"/>
          <w:szCs w:val="22"/>
          <w:lang w:val="sr-Cyrl-RS"/>
        </w:rPr>
        <w:t>и</w:t>
      </w:r>
      <w:r w:rsidRPr="009404B5">
        <w:rPr>
          <w:bCs/>
          <w:sz w:val="22"/>
          <w:szCs w:val="22"/>
          <w:lang w:val="sr-Cyrl-RS"/>
        </w:rPr>
        <w:t xml:space="preserve"> су </w:t>
      </w:r>
      <w:r w:rsidR="00701B3C">
        <w:rPr>
          <w:bCs/>
          <w:sz w:val="22"/>
          <w:szCs w:val="22"/>
          <w:lang w:val="sr-Cyrl-RS"/>
        </w:rPr>
        <w:t>коментари</w:t>
      </w:r>
      <w:r w:rsidRPr="009404B5">
        <w:rPr>
          <w:bCs/>
          <w:sz w:val="22"/>
          <w:szCs w:val="22"/>
          <w:lang w:val="sr-Cyrl-RS"/>
        </w:rPr>
        <w:t xml:space="preserve"> заинтересованих страна и то:</w:t>
      </w:r>
    </w:p>
    <w:p w14:paraId="58986AA1" w14:textId="787E85A6" w:rsidR="00C36331" w:rsidRPr="009404B5" w:rsidRDefault="00C36331" w:rsidP="00C36331">
      <w:pPr>
        <w:pStyle w:val="ListParagraph"/>
        <w:numPr>
          <w:ilvl w:val="0"/>
          <w:numId w:val="2"/>
        </w:numPr>
        <w:spacing w:line="276" w:lineRule="auto"/>
        <w:rPr>
          <w:sz w:val="22"/>
          <w:szCs w:val="22"/>
          <w:lang w:val="sr-Cyrl-RS"/>
        </w:rPr>
      </w:pPr>
      <w:r w:rsidRPr="009404B5">
        <w:rPr>
          <w:sz w:val="22"/>
          <w:szCs w:val="22"/>
          <w:lang w:val="sr-Cyrl-RS"/>
        </w:rPr>
        <w:t>Регулаторни институт за обновљиву енергију и животну средину</w:t>
      </w:r>
      <w:r w:rsidR="00701B3C">
        <w:rPr>
          <w:sz w:val="22"/>
          <w:szCs w:val="22"/>
          <w:lang w:val="sr-Cyrl-RS"/>
        </w:rPr>
        <w:t xml:space="preserve"> </w:t>
      </w:r>
      <w:r w:rsidR="00701B3C" w:rsidRPr="00C36331">
        <w:rPr>
          <w:sz w:val="22"/>
          <w:szCs w:val="22"/>
          <w:lang w:val="sr-Cyrl-RS"/>
        </w:rPr>
        <w:t>(РЕРИ).</w:t>
      </w:r>
    </w:p>
    <w:p w14:paraId="756A9DD5" w14:textId="77777777" w:rsidR="00260FFE" w:rsidRDefault="00260FFE" w:rsidP="003D3ED3">
      <w:pPr>
        <w:spacing w:line="276" w:lineRule="auto"/>
        <w:ind w:firstLine="720"/>
        <w:jc w:val="both"/>
        <w:rPr>
          <w:bCs/>
          <w:sz w:val="22"/>
          <w:szCs w:val="22"/>
          <w:lang w:val="sr-Cyrl-RS"/>
        </w:rPr>
      </w:pPr>
    </w:p>
    <w:p w14:paraId="461CCCC8" w14:textId="69E8FB35" w:rsidR="00165485" w:rsidRDefault="00C36331" w:rsidP="003D3ED3">
      <w:pPr>
        <w:pStyle w:val="ListParagraph"/>
        <w:spacing w:line="276" w:lineRule="auto"/>
        <w:ind w:left="0"/>
        <w:jc w:val="both"/>
        <w:rPr>
          <w:sz w:val="22"/>
          <w:szCs w:val="22"/>
        </w:rPr>
      </w:pPr>
      <w:r w:rsidRPr="00260FFE">
        <w:rPr>
          <w:sz w:val="22"/>
          <w:szCs w:val="22"/>
          <w:lang w:val="sr-Cyrl-RS"/>
        </w:rPr>
        <w:t>После завршетка јавн</w:t>
      </w:r>
      <w:r w:rsidR="00894C64">
        <w:rPr>
          <w:sz w:val="22"/>
          <w:szCs w:val="22"/>
          <w:lang w:val="sr-Cyrl-RS"/>
        </w:rPr>
        <w:t>ог увида</w:t>
      </w:r>
      <w:r w:rsidRPr="00260FFE">
        <w:rPr>
          <w:sz w:val="22"/>
          <w:szCs w:val="22"/>
          <w:lang w:val="sr-Cyrl-RS"/>
        </w:rPr>
        <w:t>, размотрен</w:t>
      </w:r>
      <w:r w:rsidR="00260FFE">
        <w:rPr>
          <w:sz w:val="22"/>
          <w:szCs w:val="22"/>
          <w:lang w:val="sr-Cyrl-RS"/>
        </w:rPr>
        <w:t>и</w:t>
      </w:r>
      <w:r w:rsidRPr="00260FFE">
        <w:rPr>
          <w:sz w:val="22"/>
          <w:szCs w:val="22"/>
          <w:lang w:val="sr-Cyrl-RS"/>
        </w:rPr>
        <w:t xml:space="preserve"> су св</w:t>
      </w:r>
      <w:r w:rsidR="00894C64">
        <w:rPr>
          <w:sz w:val="22"/>
          <w:szCs w:val="22"/>
          <w:lang w:val="sr-Cyrl-RS"/>
        </w:rPr>
        <w:t>и</w:t>
      </w:r>
      <w:r w:rsidRPr="00260FFE">
        <w:rPr>
          <w:sz w:val="22"/>
          <w:szCs w:val="22"/>
          <w:lang w:val="sr-Cyrl-RS"/>
        </w:rPr>
        <w:t xml:space="preserve"> пристигл</w:t>
      </w:r>
      <w:r w:rsidR="00894C64">
        <w:rPr>
          <w:sz w:val="22"/>
          <w:szCs w:val="22"/>
          <w:lang w:val="sr-Cyrl-RS"/>
        </w:rPr>
        <w:t>и</w:t>
      </w:r>
      <w:r w:rsidRPr="00260FFE">
        <w:rPr>
          <w:sz w:val="22"/>
          <w:szCs w:val="22"/>
          <w:lang w:val="sr-Cyrl-RS"/>
        </w:rPr>
        <w:t xml:space="preserve"> </w:t>
      </w:r>
      <w:r w:rsidR="00260FFE">
        <w:rPr>
          <w:sz w:val="22"/>
          <w:szCs w:val="22"/>
          <w:lang w:val="sr-Cyrl-RS"/>
        </w:rPr>
        <w:t xml:space="preserve">коментари </w:t>
      </w:r>
      <w:r w:rsidRPr="00260FFE">
        <w:rPr>
          <w:sz w:val="22"/>
          <w:szCs w:val="22"/>
          <w:lang w:val="sr-Cyrl-RS"/>
        </w:rPr>
        <w:t>примедбе</w:t>
      </w:r>
      <w:r w:rsidR="00260FFE">
        <w:rPr>
          <w:sz w:val="22"/>
          <w:szCs w:val="22"/>
          <w:lang w:val="sr-Cyrl-RS"/>
        </w:rPr>
        <w:t xml:space="preserve"> </w:t>
      </w:r>
      <w:r w:rsidRPr="00260FFE">
        <w:rPr>
          <w:sz w:val="22"/>
          <w:szCs w:val="22"/>
          <w:lang w:val="sr-Cyrl-RS"/>
        </w:rPr>
        <w:t xml:space="preserve">и сугестије. </w:t>
      </w:r>
      <w:r w:rsidR="00260FFE" w:rsidRPr="00C36331">
        <w:rPr>
          <w:sz w:val="22"/>
          <w:szCs w:val="22"/>
          <w:lang w:val="sr-Cyrl-RS"/>
        </w:rPr>
        <w:t>Напомињемо</w:t>
      </w:r>
      <w:r w:rsidR="00260FFE">
        <w:rPr>
          <w:sz w:val="22"/>
          <w:szCs w:val="22"/>
          <w:lang w:val="sr-Cyrl-RS"/>
        </w:rPr>
        <w:t>,</w:t>
      </w:r>
      <w:r w:rsidR="00260FFE" w:rsidRPr="00C36331">
        <w:rPr>
          <w:sz w:val="22"/>
          <w:szCs w:val="22"/>
          <w:lang w:val="sr-Cyrl-RS"/>
        </w:rPr>
        <w:t xml:space="preserve"> </w:t>
      </w:r>
      <w:r w:rsidR="00260FFE">
        <w:rPr>
          <w:sz w:val="22"/>
          <w:szCs w:val="22"/>
          <w:lang w:val="sr-Cyrl-RS"/>
        </w:rPr>
        <w:t xml:space="preserve">да иако </w:t>
      </w:r>
      <w:r w:rsidR="00260FFE" w:rsidRPr="00260FFE">
        <w:rPr>
          <w:sz w:val="22"/>
          <w:szCs w:val="22"/>
          <w:lang w:val="sr-Cyrl-RS"/>
        </w:rPr>
        <w:t>су достављен</w:t>
      </w:r>
      <w:r w:rsidR="00260FFE">
        <w:rPr>
          <w:sz w:val="22"/>
          <w:szCs w:val="22"/>
          <w:lang w:val="sr-Cyrl-RS"/>
        </w:rPr>
        <w:t>и</w:t>
      </w:r>
      <w:r w:rsidR="00260FFE" w:rsidRPr="00260FFE">
        <w:rPr>
          <w:sz w:val="22"/>
          <w:szCs w:val="22"/>
          <w:lang w:val="sr-Cyrl-RS"/>
        </w:rPr>
        <w:t xml:space="preserve"> након 24. децембра</w:t>
      </w:r>
      <w:r w:rsidR="00260FFE">
        <w:rPr>
          <w:sz w:val="22"/>
          <w:szCs w:val="22"/>
          <w:lang w:val="sr-Cyrl-RS"/>
        </w:rPr>
        <w:t>,</w:t>
      </w:r>
      <w:r w:rsidR="00260FFE" w:rsidRPr="00260FFE">
        <w:rPr>
          <w:sz w:val="22"/>
          <w:szCs w:val="22"/>
          <w:lang w:val="sr-Cyrl-RS"/>
        </w:rPr>
        <w:t xml:space="preserve"> </w:t>
      </w:r>
      <w:r w:rsidR="00260FFE" w:rsidRPr="00C36331">
        <w:rPr>
          <w:sz w:val="22"/>
          <w:szCs w:val="22"/>
          <w:lang w:val="sr-Cyrl-RS"/>
        </w:rPr>
        <w:t>да</w:t>
      </w:r>
      <w:r w:rsidR="00260FFE" w:rsidRPr="00260FFE">
        <w:rPr>
          <w:sz w:val="22"/>
          <w:szCs w:val="22"/>
          <w:lang w:val="sr-Cyrl-RS"/>
        </w:rPr>
        <w:t xml:space="preserve"> су </w:t>
      </w:r>
      <w:r w:rsidR="00701B3C" w:rsidRPr="00260FFE">
        <w:rPr>
          <w:sz w:val="22"/>
          <w:szCs w:val="22"/>
          <w:lang w:val="sr-Cyrl-RS"/>
        </w:rPr>
        <w:t>узет</w:t>
      </w:r>
      <w:r w:rsidR="00701B3C">
        <w:rPr>
          <w:sz w:val="22"/>
          <w:szCs w:val="22"/>
          <w:lang w:val="sr-Cyrl-RS"/>
        </w:rPr>
        <w:t>и</w:t>
      </w:r>
      <w:r w:rsidR="00701B3C" w:rsidRPr="00260FFE">
        <w:rPr>
          <w:sz w:val="22"/>
          <w:szCs w:val="22"/>
          <w:lang w:val="sr-Cyrl-RS"/>
        </w:rPr>
        <w:t xml:space="preserve"> у разматрање </w:t>
      </w:r>
      <w:r w:rsidR="00260FFE" w:rsidRPr="00260FFE">
        <w:rPr>
          <w:sz w:val="22"/>
          <w:szCs w:val="22"/>
          <w:lang w:val="sr-Cyrl-RS"/>
        </w:rPr>
        <w:t xml:space="preserve">коментари  </w:t>
      </w:r>
      <w:r w:rsidR="00260FFE" w:rsidRPr="00C36331">
        <w:rPr>
          <w:sz w:val="22"/>
          <w:szCs w:val="22"/>
          <w:lang w:val="sr-Cyrl-RS"/>
        </w:rPr>
        <w:t>примедбе и сугестије Регулаторног института за обновљиву енергију и животну средину (РЕРИ)</w:t>
      </w:r>
      <w:r w:rsidR="00260FFE" w:rsidRPr="00260FFE">
        <w:rPr>
          <w:sz w:val="22"/>
          <w:szCs w:val="22"/>
          <w:lang w:val="sr-Cyrl-RS"/>
        </w:rPr>
        <w:t xml:space="preserve">. </w:t>
      </w:r>
      <w:r w:rsidRPr="00260FFE">
        <w:rPr>
          <w:sz w:val="22"/>
          <w:szCs w:val="22"/>
          <w:lang w:val="sr-Cyrl-RS"/>
        </w:rPr>
        <w:t>Укупно је</w:t>
      </w:r>
      <w:r w:rsidR="00260FFE" w:rsidRPr="00260FFE">
        <w:rPr>
          <w:sz w:val="22"/>
          <w:szCs w:val="22"/>
          <w:lang w:val="sr-Cyrl-RS"/>
        </w:rPr>
        <w:t xml:space="preserve"> на документ Извештаја о стратешкој процени утицаја на животну средину</w:t>
      </w:r>
      <w:r w:rsidRPr="00260FFE">
        <w:rPr>
          <w:sz w:val="22"/>
          <w:szCs w:val="22"/>
          <w:lang w:val="sr-Cyrl-RS"/>
        </w:rPr>
        <w:t xml:space="preserve"> пристигло </w:t>
      </w:r>
      <w:r w:rsidR="00260FFE">
        <w:rPr>
          <w:sz w:val="22"/>
          <w:szCs w:val="22"/>
          <w:lang w:val="sr-Cyrl-RS"/>
        </w:rPr>
        <w:t xml:space="preserve">11 коментара од стране РЕРИ. </w:t>
      </w:r>
    </w:p>
    <w:p w14:paraId="0DDC4DC4" w14:textId="0D38F127" w:rsidR="00C36331" w:rsidRPr="00260FFE" w:rsidRDefault="00C36331" w:rsidP="003D3ED3">
      <w:pPr>
        <w:pStyle w:val="ListParagraph"/>
        <w:spacing w:line="276" w:lineRule="auto"/>
        <w:ind w:left="0"/>
        <w:jc w:val="both"/>
        <w:rPr>
          <w:sz w:val="22"/>
          <w:szCs w:val="22"/>
          <w:lang w:val="sr-Cyrl-RS"/>
        </w:rPr>
      </w:pPr>
      <w:r w:rsidRPr="00260FFE">
        <w:rPr>
          <w:sz w:val="22"/>
          <w:szCs w:val="22"/>
          <w:lang w:val="sr-Cyrl-RS"/>
        </w:rPr>
        <w:t xml:space="preserve">У наставку </w:t>
      </w:r>
      <w:r w:rsidR="00DB5A29">
        <w:rPr>
          <w:sz w:val="22"/>
          <w:szCs w:val="22"/>
          <w:lang w:val="sr-Cyrl-RS"/>
        </w:rPr>
        <w:t>је дата</w:t>
      </w:r>
      <w:r w:rsidRPr="00260FFE">
        <w:rPr>
          <w:sz w:val="22"/>
          <w:szCs w:val="22"/>
          <w:lang w:val="sr-Cyrl-RS"/>
        </w:rPr>
        <w:t xml:space="preserve"> Табела са свим пристиглим </w:t>
      </w:r>
      <w:r w:rsidR="0003186C">
        <w:rPr>
          <w:sz w:val="22"/>
          <w:szCs w:val="22"/>
          <w:lang w:val="sr-Cyrl-RS"/>
        </w:rPr>
        <w:t>коментарим</w:t>
      </w:r>
      <w:r w:rsidRPr="00260FFE">
        <w:rPr>
          <w:sz w:val="22"/>
          <w:szCs w:val="22"/>
          <w:lang w:val="sr-Cyrl-RS"/>
        </w:rPr>
        <w:t xml:space="preserve">а и </w:t>
      </w:r>
      <w:r w:rsidR="0003186C">
        <w:rPr>
          <w:sz w:val="22"/>
          <w:szCs w:val="22"/>
          <w:lang w:val="sr-Cyrl-RS"/>
        </w:rPr>
        <w:t>одговорима</w:t>
      </w:r>
      <w:r w:rsidRPr="00260FFE">
        <w:rPr>
          <w:sz w:val="22"/>
          <w:szCs w:val="22"/>
          <w:lang w:val="sr-Cyrl-RS"/>
        </w:rPr>
        <w:t xml:space="preserve">. </w:t>
      </w:r>
    </w:p>
    <w:p w14:paraId="1956D225" w14:textId="77777777" w:rsidR="00C36331" w:rsidRDefault="00C36331" w:rsidP="00C36331">
      <w:pPr>
        <w:spacing w:line="276" w:lineRule="auto"/>
        <w:ind w:firstLine="720"/>
        <w:jc w:val="both"/>
        <w:rPr>
          <w:bCs/>
          <w:sz w:val="22"/>
          <w:szCs w:val="22"/>
          <w:lang w:val="sr-Latn-RS"/>
        </w:rPr>
      </w:pPr>
    </w:p>
    <w:p w14:paraId="53D75E6B" w14:textId="77777777" w:rsidR="00C36331" w:rsidRPr="00C36331" w:rsidRDefault="00C36331" w:rsidP="00C36331">
      <w:pPr>
        <w:ind w:firstLine="720"/>
        <w:jc w:val="both"/>
        <w:rPr>
          <w:bCs/>
          <w:sz w:val="22"/>
          <w:szCs w:val="22"/>
          <w:lang w:val="sr-Latn-RS"/>
        </w:rPr>
      </w:pPr>
    </w:p>
    <w:p w14:paraId="57A01CFC" w14:textId="77777777" w:rsidR="00C36331" w:rsidRPr="00C36331" w:rsidRDefault="00C36331" w:rsidP="00C36331">
      <w:pPr>
        <w:ind w:firstLine="720"/>
        <w:jc w:val="both"/>
        <w:rPr>
          <w:bCs/>
          <w:sz w:val="22"/>
          <w:szCs w:val="22"/>
          <w:lang w:val="sr-Cyrl-RS"/>
        </w:rPr>
        <w:sectPr w:rsidR="00C36331" w:rsidRPr="00C36331" w:rsidSect="00C36331">
          <w:footerReference w:type="default" r:id="rId10"/>
          <w:pgSz w:w="11909" w:h="16834"/>
          <w:pgMar w:top="1135" w:right="1418" w:bottom="1276" w:left="1418" w:header="720" w:footer="720" w:gutter="0"/>
          <w:cols w:space="720"/>
        </w:sectPr>
      </w:pPr>
    </w:p>
    <w:p w14:paraId="4ED84970" w14:textId="77777777" w:rsidR="00B03A4F" w:rsidRPr="009404B5" w:rsidRDefault="00B03A4F">
      <w:pPr>
        <w:rPr>
          <w:sz w:val="16"/>
          <w:szCs w:val="16"/>
        </w:rPr>
      </w:pPr>
    </w:p>
    <w:tbl>
      <w:tblPr>
        <w:tblStyle w:val="TableGrid"/>
        <w:tblW w:w="5000" w:type="pct"/>
        <w:tblLayout w:type="fixed"/>
        <w:tblLook w:val="04A0" w:firstRow="1" w:lastRow="0" w:firstColumn="1" w:lastColumn="0" w:noHBand="0" w:noVBand="1"/>
      </w:tblPr>
      <w:tblGrid>
        <w:gridCol w:w="561"/>
        <w:gridCol w:w="1420"/>
        <w:gridCol w:w="1559"/>
        <w:gridCol w:w="4109"/>
        <w:gridCol w:w="6299"/>
      </w:tblGrid>
      <w:tr w:rsidR="003745BC" w:rsidRPr="00EA4101" w14:paraId="516E7071" w14:textId="77777777" w:rsidTr="00AF090E">
        <w:trPr>
          <w:trHeight w:val="850"/>
          <w:tblHeader/>
        </w:trPr>
        <w:tc>
          <w:tcPr>
            <w:tcW w:w="201" w:type="pct"/>
            <w:vMerge w:val="restar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1638574" w14:textId="77777777" w:rsidR="00C27122" w:rsidRPr="00EA4101" w:rsidRDefault="00E00C40" w:rsidP="0094641A">
            <w:pPr>
              <w:spacing w:line="276" w:lineRule="auto"/>
              <w:ind w:right="-57"/>
              <w:jc w:val="center"/>
              <w:rPr>
                <w:b/>
                <w:bCs/>
                <w:sz w:val="21"/>
                <w:szCs w:val="21"/>
                <w:lang w:val="sr-Cyrl-RS"/>
              </w:rPr>
            </w:pPr>
            <w:r w:rsidRPr="00EA4101">
              <w:rPr>
                <w:b/>
                <w:bCs/>
                <w:sz w:val="21"/>
                <w:szCs w:val="21"/>
                <w:lang w:val="sr-Cyrl-RS"/>
              </w:rPr>
              <w:t>Ред. бр.</w:t>
            </w:r>
          </w:p>
        </w:tc>
        <w:tc>
          <w:tcPr>
            <w:tcW w:w="509"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203954B" w14:textId="77777777" w:rsidR="00C27122" w:rsidRPr="00EA4101" w:rsidRDefault="00E00C40">
            <w:pPr>
              <w:spacing w:line="276" w:lineRule="auto"/>
              <w:rPr>
                <w:b/>
                <w:bCs/>
                <w:sz w:val="21"/>
                <w:szCs w:val="21"/>
                <w:lang w:val="sr-Cyrl-RS"/>
              </w:rPr>
            </w:pPr>
            <w:r w:rsidRPr="00EA4101">
              <w:rPr>
                <w:b/>
                <w:bCs/>
                <w:sz w:val="21"/>
                <w:szCs w:val="21"/>
                <w:lang w:val="sr-Cyrl-RS"/>
              </w:rPr>
              <w:t>Подносилац коментара</w:t>
            </w:r>
          </w:p>
        </w:tc>
        <w:tc>
          <w:tcPr>
            <w:tcW w:w="559"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E835C81" w14:textId="77777777" w:rsidR="00C27122" w:rsidRPr="00EA4101" w:rsidRDefault="00E00C40">
            <w:pPr>
              <w:spacing w:line="276" w:lineRule="auto"/>
              <w:rPr>
                <w:b/>
                <w:bCs/>
                <w:sz w:val="21"/>
                <w:szCs w:val="21"/>
                <w:lang w:val="sr-Cyrl-RS"/>
              </w:rPr>
            </w:pPr>
            <w:r w:rsidRPr="00EA4101">
              <w:rPr>
                <w:b/>
                <w:bCs/>
                <w:sz w:val="21"/>
                <w:szCs w:val="21"/>
                <w:lang w:val="sr-Cyrl-RS"/>
              </w:rPr>
              <w:t>Број странице документа</w:t>
            </w:r>
          </w:p>
        </w:tc>
        <w:tc>
          <w:tcPr>
            <w:tcW w:w="147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08076E3" w14:textId="77777777" w:rsidR="00C27122" w:rsidRPr="00EA4101" w:rsidRDefault="00E00C40">
            <w:pPr>
              <w:spacing w:line="276" w:lineRule="auto"/>
              <w:jc w:val="both"/>
              <w:rPr>
                <w:b/>
                <w:bCs/>
                <w:sz w:val="21"/>
                <w:szCs w:val="21"/>
                <w:lang w:val="sr-Cyrl-RS"/>
              </w:rPr>
            </w:pPr>
            <w:r w:rsidRPr="00EA4101">
              <w:rPr>
                <w:b/>
                <w:bCs/>
                <w:sz w:val="21"/>
                <w:szCs w:val="21"/>
                <w:lang w:val="sr-Cyrl-RS"/>
              </w:rPr>
              <w:t>Коментар</w:t>
            </w:r>
          </w:p>
        </w:tc>
        <w:tc>
          <w:tcPr>
            <w:tcW w:w="2258"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7BEE545" w14:textId="77777777" w:rsidR="00C27122" w:rsidRPr="00EA4101" w:rsidRDefault="00E00C40">
            <w:pPr>
              <w:spacing w:line="276" w:lineRule="auto"/>
              <w:jc w:val="both"/>
              <w:rPr>
                <w:b/>
                <w:bCs/>
                <w:sz w:val="21"/>
                <w:szCs w:val="21"/>
                <w:lang w:val="sr-Cyrl-RS"/>
              </w:rPr>
            </w:pPr>
            <w:r w:rsidRPr="00EA4101">
              <w:rPr>
                <w:b/>
                <w:bCs/>
                <w:sz w:val="21"/>
                <w:szCs w:val="21"/>
                <w:lang w:val="sr-Cyrl-RS"/>
              </w:rPr>
              <w:t>Одговор на коментар (прихвата се/не прихвата се и нови текст)</w:t>
            </w:r>
          </w:p>
        </w:tc>
      </w:tr>
      <w:tr w:rsidR="00994D04" w:rsidRPr="00EA4101" w14:paraId="1615D886" w14:textId="77777777" w:rsidTr="00AF090E">
        <w:trPr>
          <w:trHeight w:val="351"/>
          <w:tblHeader/>
        </w:trPr>
        <w:tc>
          <w:tcPr>
            <w:tcW w:w="201" w:type="pct"/>
            <w:vMerge/>
            <w:tcBorders>
              <w:top w:val="single" w:sz="4" w:space="0" w:color="auto"/>
              <w:left w:val="single" w:sz="4" w:space="0" w:color="auto"/>
              <w:bottom w:val="single" w:sz="4" w:space="0" w:color="auto"/>
              <w:right w:val="single" w:sz="4" w:space="0" w:color="auto"/>
            </w:tcBorders>
            <w:vAlign w:val="center"/>
          </w:tcPr>
          <w:p w14:paraId="14DC79DE" w14:textId="77777777" w:rsidR="00C27122" w:rsidRPr="00EA4101" w:rsidRDefault="00C27122" w:rsidP="0094641A">
            <w:pPr>
              <w:spacing w:line="276" w:lineRule="auto"/>
              <w:jc w:val="center"/>
              <w:rPr>
                <w:b/>
                <w:bCs/>
                <w:sz w:val="21"/>
                <w:szCs w:val="21"/>
                <w:lang w:val="sr-Cyrl-RS"/>
              </w:rPr>
            </w:pPr>
          </w:p>
        </w:tc>
        <w:tc>
          <w:tcPr>
            <w:tcW w:w="509"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93BF2D1" w14:textId="77777777" w:rsidR="00C27122" w:rsidRPr="00EA4101" w:rsidRDefault="00E00C40">
            <w:pPr>
              <w:spacing w:line="276" w:lineRule="auto"/>
              <w:jc w:val="center"/>
              <w:rPr>
                <w:b/>
                <w:bCs/>
                <w:sz w:val="21"/>
                <w:szCs w:val="21"/>
                <w:lang w:val="sr-Cyrl-RS"/>
              </w:rPr>
            </w:pPr>
            <w:r w:rsidRPr="00EA4101">
              <w:rPr>
                <w:b/>
                <w:bCs/>
                <w:sz w:val="21"/>
                <w:szCs w:val="21"/>
                <w:lang w:val="sr-Cyrl-RS"/>
              </w:rPr>
              <w:t>1</w:t>
            </w:r>
          </w:p>
        </w:tc>
        <w:tc>
          <w:tcPr>
            <w:tcW w:w="559"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BDF2C78" w14:textId="77777777" w:rsidR="00C27122" w:rsidRPr="00EA4101" w:rsidRDefault="00E00C40">
            <w:pPr>
              <w:spacing w:line="276" w:lineRule="auto"/>
              <w:jc w:val="center"/>
              <w:rPr>
                <w:b/>
                <w:bCs/>
                <w:sz w:val="21"/>
                <w:szCs w:val="21"/>
                <w:lang w:val="sr-Cyrl-RS"/>
              </w:rPr>
            </w:pPr>
            <w:r w:rsidRPr="00EA4101">
              <w:rPr>
                <w:b/>
                <w:bCs/>
                <w:sz w:val="21"/>
                <w:szCs w:val="21"/>
                <w:lang w:val="sr-Cyrl-RS"/>
              </w:rPr>
              <w:t>2</w:t>
            </w:r>
          </w:p>
        </w:tc>
        <w:tc>
          <w:tcPr>
            <w:tcW w:w="147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BB9CAB0" w14:textId="77777777" w:rsidR="00C27122" w:rsidRPr="00EA4101" w:rsidRDefault="00E00C40">
            <w:pPr>
              <w:spacing w:line="276" w:lineRule="auto"/>
              <w:jc w:val="both"/>
              <w:rPr>
                <w:b/>
                <w:bCs/>
                <w:sz w:val="21"/>
                <w:szCs w:val="21"/>
                <w:lang w:val="sr-Cyrl-RS"/>
              </w:rPr>
            </w:pPr>
            <w:r w:rsidRPr="00EA4101">
              <w:rPr>
                <w:b/>
                <w:bCs/>
                <w:sz w:val="21"/>
                <w:szCs w:val="21"/>
                <w:lang w:val="sr-Cyrl-RS"/>
              </w:rPr>
              <w:t>3</w:t>
            </w:r>
          </w:p>
        </w:tc>
        <w:tc>
          <w:tcPr>
            <w:tcW w:w="2258"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268B5DE" w14:textId="77777777" w:rsidR="00C27122" w:rsidRPr="00EA4101" w:rsidRDefault="00E00C40">
            <w:pPr>
              <w:spacing w:line="276" w:lineRule="auto"/>
              <w:jc w:val="both"/>
              <w:rPr>
                <w:b/>
                <w:bCs/>
                <w:sz w:val="21"/>
                <w:szCs w:val="21"/>
                <w:lang w:val="sr-Cyrl-RS"/>
              </w:rPr>
            </w:pPr>
            <w:r w:rsidRPr="00EA4101">
              <w:rPr>
                <w:b/>
                <w:bCs/>
                <w:sz w:val="21"/>
                <w:szCs w:val="21"/>
                <w:lang w:val="sr-Cyrl-RS"/>
              </w:rPr>
              <w:t>4</w:t>
            </w:r>
          </w:p>
        </w:tc>
      </w:tr>
      <w:tr w:rsidR="00994D04" w:rsidRPr="00EA4101" w14:paraId="205B9DF5" w14:textId="77777777" w:rsidTr="00AF090E">
        <w:trPr>
          <w:trHeight w:val="680"/>
        </w:trPr>
        <w:tc>
          <w:tcPr>
            <w:tcW w:w="201" w:type="pct"/>
            <w:tcBorders>
              <w:top w:val="single" w:sz="4" w:space="0" w:color="auto"/>
              <w:left w:val="single" w:sz="4" w:space="0" w:color="auto"/>
              <w:right w:val="single" w:sz="4" w:space="0" w:color="auto"/>
            </w:tcBorders>
          </w:tcPr>
          <w:p w14:paraId="6B70D83D" w14:textId="77777777" w:rsidR="00C27122" w:rsidRPr="00EA4101" w:rsidRDefault="00C27122" w:rsidP="0094641A">
            <w:pPr>
              <w:numPr>
                <w:ilvl w:val="0"/>
                <w:numId w:val="1"/>
              </w:numPr>
              <w:spacing w:line="276" w:lineRule="auto"/>
              <w:ind w:left="473"/>
              <w:jc w:val="center"/>
              <w:rPr>
                <w:sz w:val="21"/>
                <w:szCs w:val="21"/>
                <w:lang w:val="sr-Cyrl-RS"/>
              </w:rPr>
            </w:pPr>
          </w:p>
        </w:tc>
        <w:tc>
          <w:tcPr>
            <w:tcW w:w="509" w:type="pct"/>
            <w:tcBorders>
              <w:top w:val="single" w:sz="4" w:space="0" w:color="auto"/>
              <w:left w:val="single" w:sz="4" w:space="0" w:color="auto"/>
              <w:right w:val="single" w:sz="4" w:space="0" w:color="auto"/>
            </w:tcBorders>
          </w:tcPr>
          <w:p w14:paraId="63249072" w14:textId="77777777" w:rsidR="00C27122" w:rsidRPr="00EA4101" w:rsidRDefault="00E00C40" w:rsidP="0094641A">
            <w:pPr>
              <w:spacing w:line="276" w:lineRule="auto"/>
              <w:ind w:right="-57"/>
              <w:rPr>
                <w:b/>
                <w:bCs/>
                <w:sz w:val="21"/>
                <w:szCs w:val="21"/>
                <w:lang w:val="sr-Cyrl-RS"/>
              </w:rPr>
            </w:pPr>
            <w:r w:rsidRPr="00EA4101">
              <w:rPr>
                <w:b/>
                <w:bCs/>
                <w:sz w:val="21"/>
                <w:szCs w:val="21"/>
                <w:lang w:val="sr-Cyrl-RS"/>
              </w:rPr>
              <w:t>Регулаторни институт за обновљиву енергију и животну средину</w:t>
            </w:r>
          </w:p>
        </w:tc>
        <w:tc>
          <w:tcPr>
            <w:tcW w:w="559" w:type="pct"/>
            <w:tcBorders>
              <w:top w:val="single" w:sz="4" w:space="0" w:color="auto"/>
              <w:left w:val="single" w:sz="4" w:space="0" w:color="auto"/>
              <w:right w:val="single" w:sz="4" w:space="0" w:color="auto"/>
            </w:tcBorders>
          </w:tcPr>
          <w:p w14:paraId="0CC66206" w14:textId="77777777" w:rsidR="00C27122" w:rsidRPr="00EA4101" w:rsidRDefault="00E00C40">
            <w:pPr>
              <w:spacing w:line="276" w:lineRule="auto"/>
              <w:rPr>
                <w:sz w:val="21"/>
                <w:szCs w:val="21"/>
                <w:lang w:val="sr-Cyrl-RS"/>
              </w:rPr>
            </w:pPr>
            <w:r w:rsidRPr="00EA4101">
              <w:rPr>
                <w:sz w:val="21"/>
                <w:szCs w:val="21"/>
                <w:lang w:val="sr-Cyrl-RS"/>
              </w:rPr>
              <w:t>Није дефинисано</w:t>
            </w:r>
          </w:p>
        </w:tc>
        <w:tc>
          <w:tcPr>
            <w:tcW w:w="1473" w:type="pct"/>
            <w:tcBorders>
              <w:top w:val="single" w:sz="4" w:space="0" w:color="auto"/>
              <w:left w:val="single" w:sz="4" w:space="0" w:color="auto"/>
              <w:right w:val="single" w:sz="4" w:space="0" w:color="auto"/>
            </w:tcBorders>
          </w:tcPr>
          <w:p w14:paraId="75167B23" w14:textId="77777777" w:rsidR="00C27122" w:rsidRPr="00EA4101" w:rsidRDefault="00E00C40">
            <w:pPr>
              <w:pStyle w:val="NoSpacing"/>
              <w:jc w:val="both"/>
              <w:rPr>
                <w:rFonts w:ascii="Times New Roman" w:hAnsi="Times New Roman" w:cs="Times New Roman"/>
                <w:b/>
                <w:bCs/>
                <w:sz w:val="21"/>
                <w:szCs w:val="21"/>
                <w:lang w:val="sr-Cyrl-RS"/>
              </w:rPr>
            </w:pPr>
            <w:r w:rsidRPr="00EA4101">
              <w:rPr>
                <w:rFonts w:ascii="Times New Roman" w:hAnsi="Times New Roman" w:cs="Times New Roman"/>
                <w:b/>
                <w:bCs/>
                <w:sz w:val="21"/>
                <w:szCs w:val="21"/>
                <w:lang w:val="sr-Cyrl-RS"/>
              </w:rPr>
              <w:t>ПРЕТХОДНА НАПОМЕНА ПОДНОСИОЦА</w:t>
            </w:r>
          </w:p>
          <w:p w14:paraId="23820DD7" w14:textId="77777777" w:rsidR="00C27122" w:rsidRPr="00EA4101" w:rsidRDefault="00C27122">
            <w:pPr>
              <w:pStyle w:val="NoSpacing"/>
              <w:jc w:val="both"/>
              <w:rPr>
                <w:rFonts w:ascii="Times New Roman" w:hAnsi="Times New Roman" w:cs="Times New Roman"/>
                <w:sz w:val="21"/>
                <w:szCs w:val="21"/>
                <w:lang w:val="sr-Cyrl-RS"/>
              </w:rPr>
            </w:pPr>
          </w:p>
          <w:p w14:paraId="7A7EE406" w14:textId="77777777" w:rsidR="00C27122" w:rsidRPr="00EA4101" w:rsidRDefault="00E00C40">
            <w:pPr>
              <w:pStyle w:val="NoSpacing"/>
              <w:jc w:val="both"/>
              <w:rPr>
                <w:rFonts w:ascii="Times New Roman" w:hAnsi="Times New Roman" w:cs="Times New Roman"/>
                <w:sz w:val="21"/>
                <w:szCs w:val="21"/>
                <w:lang w:val="sr-Cyrl-RS"/>
              </w:rPr>
            </w:pPr>
            <w:r w:rsidRPr="00EA4101">
              <w:rPr>
                <w:rFonts w:ascii="Times New Roman" w:hAnsi="Times New Roman" w:cs="Times New Roman"/>
                <w:sz w:val="21"/>
                <w:szCs w:val="21"/>
                <w:lang w:val="sr-Cyrl-RS"/>
              </w:rPr>
              <w:t xml:space="preserve">Извештај о стратешкој процени утицаја  </w:t>
            </w:r>
          </w:p>
          <w:p w14:paraId="70FEB330" w14:textId="77777777" w:rsidR="00C27122" w:rsidRPr="00EA4101" w:rsidRDefault="00E00C40">
            <w:pPr>
              <w:pStyle w:val="NoSpacing"/>
              <w:jc w:val="both"/>
              <w:rPr>
                <w:rFonts w:ascii="Times New Roman" w:hAnsi="Times New Roman" w:cs="Times New Roman"/>
                <w:sz w:val="21"/>
                <w:szCs w:val="21"/>
                <w:lang w:val="sr-Cyrl-RS"/>
              </w:rPr>
            </w:pPr>
            <w:r w:rsidRPr="00EA4101">
              <w:rPr>
                <w:rFonts w:ascii="Times New Roman" w:hAnsi="Times New Roman" w:cs="Times New Roman"/>
                <w:sz w:val="21"/>
                <w:szCs w:val="21"/>
                <w:lang w:val="sr-Cyrl-RS"/>
              </w:rPr>
              <w:t xml:space="preserve">на животну средину Стратегије заштите животне средине - Зелена  Агенда за Републику Србију  за период 2024 - 2033. године (у даљем тексту </w:t>
            </w:r>
            <w:r w:rsidRPr="00EA4101">
              <w:rPr>
                <w:rFonts w:ascii="Times New Roman" w:hAnsi="Times New Roman" w:cs="Times New Roman"/>
                <w:b/>
                <w:bCs/>
                <w:sz w:val="21"/>
                <w:szCs w:val="21"/>
                <w:lang w:val="sr-Cyrl-RS"/>
              </w:rPr>
              <w:t>„Извештај о СПУ“</w:t>
            </w:r>
            <w:r w:rsidRPr="00EA4101">
              <w:rPr>
                <w:rFonts w:ascii="Times New Roman" w:hAnsi="Times New Roman" w:cs="Times New Roman"/>
                <w:sz w:val="21"/>
                <w:szCs w:val="21"/>
                <w:lang w:val="sr-Cyrl-RS"/>
              </w:rPr>
              <w:t xml:space="preserve">) није израђен у складу са Законом о стратешкој процени утицаја на животну средину („Службени гласник РС”, бр. 135/2004 и 88/2010) због чега није могуће дати сагласност на овај Извештај.  </w:t>
            </w:r>
          </w:p>
          <w:p w14:paraId="31AB3647" w14:textId="77777777" w:rsidR="00C27122" w:rsidRPr="00EA4101" w:rsidRDefault="00C27122">
            <w:pPr>
              <w:pStyle w:val="NoSpacing"/>
              <w:jc w:val="both"/>
              <w:rPr>
                <w:rFonts w:ascii="Times New Roman" w:hAnsi="Times New Roman" w:cs="Times New Roman"/>
                <w:b/>
                <w:bCs/>
                <w:sz w:val="21"/>
                <w:szCs w:val="21"/>
                <w:lang w:val="sr-Cyrl-RS"/>
              </w:rPr>
            </w:pPr>
          </w:p>
        </w:tc>
        <w:tc>
          <w:tcPr>
            <w:tcW w:w="2258" w:type="pct"/>
            <w:tcBorders>
              <w:top w:val="single" w:sz="4" w:space="0" w:color="auto"/>
              <w:left w:val="single" w:sz="4" w:space="0" w:color="auto"/>
              <w:right w:val="single" w:sz="4" w:space="0" w:color="auto"/>
            </w:tcBorders>
          </w:tcPr>
          <w:p w14:paraId="11BCE97E" w14:textId="29642C49" w:rsidR="00C27122" w:rsidRPr="00790B59" w:rsidRDefault="00E00C40">
            <w:pPr>
              <w:rPr>
                <w:b/>
                <w:bCs/>
                <w:sz w:val="21"/>
                <w:szCs w:val="21"/>
                <w:lang w:val="sr-Latn-RS"/>
              </w:rPr>
            </w:pPr>
            <w:r w:rsidRPr="00EA4101">
              <w:rPr>
                <w:b/>
                <w:bCs/>
                <w:sz w:val="21"/>
                <w:szCs w:val="21"/>
                <w:lang w:val="sr-Cyrl-RS"/>
              </w:rPr>
              <w:t>Не прихвата се</w:t>
            </w:r>
            <w:r w:rsidR="00790B59">
              <w:rPr>
                <w:b/>
                <w:bCs/>
                <w:sz w:val="21"/>
                <w:szCs w:val="21"/>
                <w:lang w:val="sr-Latn-RS"/>
              </w:rPr>
              <w:t>.</w:t>
            </w:r>
          </w:p>
          <w:p w14:paraId="11988EFC" w14:textId="77777777" w:rsidR="008C7EFB" w:rsidRDefault="008C7EFB">
            <w:pPr>
              <w:spacing w:line="276" w:lineRule="auto"/>
              <w:jc w:val="both"/>
              <w:rPr>
                <w:sz w:val="21"/>
                <w:szCs w:val="21"/>
                <w:lang w:val="sr-Cyrl-RS"/>
              </w:rPr>
            </w:pPr>
          </w:p>
          <w:p w14:paraId="1F51A03F" w14:textId="7B20A5D8" w:rsidR="00C27122" w:rsidRPr="00EA4101" w:rsidRDefault="00E00C40">
            <w:pPr>
              <w:spacing w:line="276" w:lineRule="auto"/>
              <w:jc w:val="both"/>
              <w:rPr>
                <w:sz w:val="21"/>
                <w:szCs w:val="21"/>
                <w:lang w:val="sr-Cyrl-RS"/>
              </w:rPr>
            </w:pPr>
            <w:r w:rsidRPr="00EA4101">
              <w:rPr>
                <w:sz w:val="21"/>
                <w:szCs w:val="21"/>
                <w:lang w:val="sr-Cyrl-RS"/>
              </w:rPr>
              <w:t xml:space="preserve">Извештај о стратешкој процени утицаја на животну средину Стратегије заштите животне средине – Зелена Агенда за Републику Србију за период 2024.-2033. године је урађен у складу </w:t>
            </w:r>
            <w:r w:rsidR="00BD54F9">
              <w:rPr>
                <w:sz w:val="21"/>
                <w:szCs w:val="21"/>
                <w:lang w:val="sr-Cyrl-RS"/>
              </w:rPr>
              <w:t>с</w:t>
            </w:r>
            <w:r w:rsidR="00BD54F9">
              <w:rPr>
                <w:sz w:val="21"/>
                <w:szCs w:val="21"/>
                <w:lang w:val="sr-Latn-RS"/>
              </w:rPr>
              <w:t>a</w:t>
            </w:r>
            <w:r w:rsidRPr="00EA4101">
              <w:rPr>
                <w:sz w:val="21"/>
                <w:szCs w:val="21"/>
                <w:lang w:val="sr-Cyrl-RS"/>
              </w:rPr>
              <w:t>. Закон</w:t>
            </w:r>
            <w:r w:rsidR="00BD54F9">
              <w:rPr>
                <w:sz w:val="21"/>
                <w:szCs w:val="21"/>
                <w:lang w:val="sr-Cyrl-RS"/>
              </w:rPr>
              <w:t>ом</w:t>
            </w:r>
            <w:r w:rsidRPr="00EA4101">
              <w:rPr>
                <w:sz w:val="21"/>
                <w:szCs w:val="21"/>
                <w:lang w:val="sr-Cyrl-RS"/>
              </w:rPr>
              <w:t xml:space="preserve"> о стратешкој процени утицаја („Службени гласник РС”, бр. 135/2004 и 88/2010). </w:t>
            </w:r>
          </w:p>
          <w:p w14:paraId="50BCD73F" w14:textId="49859889" w:rsidR="00C27122" w:rsidRDefault="00B571F6">
            <w:pPr>
              <w:spacing w:line="276" w:lineRule="auto"/>
              <w:jc w:val="both"/>
              <w:rPr>
                <w:sz w:val="21"/>
                <w:szCs w:val="21"/>
                <w:lang w:val="sr-Cyrl-RS"/>
              </w:rPr>
            </w:pPr>
            <w:r>
              <w:rPr>
                <w:sz w:val="21"/>
                <w:szCs w:val="21"/>
                <w:lang w:val="sr-Cyrl-RS"/>
              </w:rPr>
              <w:t>Ч</w:t>
            </w:r>
            <w:r w:rsidR="009404B5" w:rsidRPr="00EA4101">
              <w:rPr>
                <w:sz w:val="21"/>
                <w:szCs w:val="21"/>
                <w:lang w:val="sr-Cyrl-RS"/>
              </w:rPr>
              <w:t>ланом 39. је прописано да ће се усвајање планова и програма чија је израда започета пре ступања на снагу овог закона окончати по поступку утврђеном Законом о стратешкој процени утицаја („Службени гласник РС”, бр. 135/2004 и 88/2010).</w:t>
            </w:r>
          </w:p>
          <w:p w14:paraId="7F5B2DEF" w14:textId="167CF08E" w:rsidR="00C27122" w:rsidRPr="00B571F6" w:rsidRDefault="00B571F6">
            <w:pPr>
              <w:spacing w:line="276" w:lineRule="auto"/>
              <w:jc w:val="both"/>
              <w:rPr>
                <w:sz w:val="21"/>
                <w:szCs w:val="21"/>
                <w:lang w:val="sr-Cyrl-RS"/>
              </w:rPr>
            </w:pPr>
            <w:r w:rsidRPr="00B571F6">
              <w:rPr>
                <w:sz w:val="21"/>
                <w:szCs w:val="21"/>
                <w:lang w:val="sr-Cyrl-RS"/>
              </w:rPr>
              <w:t>Подносилац коментара није конкретно дефинисао који део Извештаја о СПУ није урађен у складу са Законом о стратешкој процени утицаја на животну средину („Службени гласник РС”, бр. 135/2004 и 88/2010), тако да није могуће дати одговор на коментар</w:t>
            </w:r>
          </w:p>
        </w:tc>
      </w:tr>
      <w:tr w:rsidR="00994D04" w:rsidRPr="00EA4101" w14:paraId="21F1A964" w14:textId="77777777" w:rsidTr="00AF090E">
        <w:trPr>
          <w:trHeight w:val="737"/>
        </w:trPr>
        <w:tc>
          <w:tcPr>
            <w:tcW w:w="201" w:type="pct"/>
            <w:vMerge w:val="restart"/>
            <w:tcBorders>
              <w:top w:val="single" w:sz="4" w:space="0" w:color="auto"/>
              <w:left w:val="single" w:sz="4" w:space="0" w:color="auto"/>
              <w:right w:val="single" w:sz="4" w:space="0" w:color="auto"/>
            </w:tcBorders>
          </w:tcPr>
          <w:p w14:paraId="16850E90" w14:textId="77777777" w:rsidR="00C27122" w:rsidRPr="00EA4101" w:rsidRDefault="00C27122" w:rsidP="0094641A">
            <w:pPr>
              <w:spacing w:line="276" w:lineRule="auto"/>
              <w:ind w:left="360"/>
              <w:jc w:val="center"/>
              <w:rPr>
                <w:sz w:val="21"/>
                <w:szCs w:val="21"/>
                <w:lang w:val="sr-Cyrl-RS"/>
              </w:rPr>
            </w:pPr>
          </w:p>
        </w:tc>
        <w:tc>
          <w:tcPr>
            <w:tcW w:w="509" w:type="pct"/>
            <w:vMerge w:val="restart"/>
            <w:tcBorders>
              <w:top w:val="single" w:sz="4" w:space="0" w:color="auto"/>
              <w:left w:val="single" w:sz="4" w:space="0" w:color="auto"/>
              <w:right w:val="single" w:sz="4" w:space="0" w:color="auto"/>
            </w:tcBorders>
          </w:tcPr>
          <w:p w14:paraId="098C658C" w14:textId="77777777" w:rsidR="00C27122" w:rsidRPr="00EA4101" w:rsidRDefault="00C27122">
            <w:pPr>
              <w:spacing w:line="276" w:lineRule="auto"/>
              <w:rPr>
                <w:b/>
                <w:bCs/>
                <w:sz w:val="21"/>
                <w:szCs w:val="21"/>
                <w:lang w:val="sr-Cyrl-RS"/>
              </w:rPr>
            </w:pPr>
          </w:p>
        </w:tc>
        <w:tc>
          <w:tcPr>
            <w:tcW w:w="559" w:type="pct"/>
            <w:tcBorders>
              <w:top w:val="single" w:sz="4" w:space="0" w:color="auto"/>
              <w:left w:val="single" w:sz="4" w:space="0" w:color="auto"/>
              <w:right w:val="single" w:sz="4" w:space="0" w:color="auto"/>
            </w:tcBorders>
          </w:tcPr>
          <w:p w14:paraId="6A2062AB" w14:textId="77777777" w:rsidR="00C27122" w:rsidRPr="00EA4101" w:rsidRDefault="00E00C40">
            <w:pPr>
              <w:spacing w:line="276" w:lineRule="auto"/>
              <w:rPr>
                <w:sz w:val="21"/>
                <w:szCs w:val="21"/>
                <w:lang w:val="sr-Cyrl-RS"/>
              </w:rPr>
            </w:pPr>
            <w:r w:rsidRPr="00EA4101">
              <w:rPr>
                <w:sz w:val="21"/>
                <w:szCs w:val="21"/>
                <w:lang w:val="sr-Cyrl-RS"/>
              </w:rPr>
              <w:t>Није дефинисано</w:t>
            </w:r>
          </w:p>
        </w:tc>
        <w:tc>
          <w:tcPr>
            <w:tcW w:w="1473" w:type="pct"/>
            <w:tcBorders>
              <w:top w:val="single" w:sz="4" w:space="0" w:color="auto"/>
              <w:left w:val="single" w:sz="4" w:space="0" w:color="auto"/>
              <w:right w:val="single" w:sz="4" w:space="0" w:color="auto"/>
            </w:tcBorders>
          </w:tcPr>
          <w:p w14:paraId="0337F3D6" w14:textId="77777777" w:rsidR="00C27122" w:rsidRPr="00EA4101" w:rsidRDefault="00E00C40">
            <w:pPr>
              <w:pStyle w:val="NoSpacing"/>
              <w:jc w:val="both"/>
              <w:rPr>
                <w:rFonts w:ascii="Times New Roman" w:hAnsi="Times New Roman" w:cs="Times New Roman"/>
                <w:b/>
                <w:bCs/>
                <w:sz w:val="21"/>
                <w:szCs w:val="21"/>
                <w:lang w:val="sr-Latn-RS"/>
              </w:rPr>
            </w:pPr>
            <w:r w:rsidRPr="00EA4101">
              <w:rPr>
                <w:rFonts w:ascii="Times New Roman" w:hAnsi="Times New Roman" w:cs="Times New Roman"/>
                <w:b/>
                <w:bCs/>
                <w:sz w:val="21"/>
                <w:szCs w:val="21"/>
                <w:lang w:val="sr-Cyrl-RS"/>
              </w:rPr>
              <w:t>1. Коментар</w:t>
            </w:r>
            <w:r w:rsidRPr="00EA4101">
              <w:rPr>
                <w:rFonts w:ascii="Times New Roman" w:hAnsi="Times New Roman" w:cs="Times New Roman"/>
                <w:b/>
                <w:bCs/>
                <w:sz w:val="21"/>
                <w:szCs w:val="21"/>
                <w:lang w:val="sr-Latn-RS"/>
              </w:rPr>
              <w:t>:</w:t>
            </w:r>
          </w:p>
          <w:p w14:paraId="1491F824" w14:textId="77777777" w:rsidR="00C27122" w:rsidRPr="00EA4101" w:rsidRDefault="00E00C40">
            <w:pPr>
              <w:pStyle w:val="NoSpacing"/>
              <w:jc w:val="both"/>
              <w:rPr>
                <w:rFonts w:ascii="Times New Roman" w:hAnsi="Times New Roman" w:cs="Times New Roman"/>
                <w:b/>
                <w:bCs/>
                <w:sz w:val="21"/>
                <w:szCs w:val="21"/>
                <w:lang w:val="sr-Cyrl-RS"/>
              </w:rPr>
            </w:pPr>
            <w:r w:rsidRPr="00EA4101">
              <w:rPr>
                <w:rFonts w:ascii="Times New Roman" w:hAnsi="Times New Roman" w:cs="Times New Roman"/>
                <w:b/>
                <w:bCs/>
                <w:sz w:val="21"/>
                <w:szCs w:val="21"/>
                <w:lang w:val="sr-Cyrl-RS"/>
              </w:rPr>
              <w:t xml:space="preserve">УВОДНЕ НАПОМЕНЕ </w:t>
            </w:r>
          </w:p>
          <w:p w14:paraId="3EE934AD" w14:textId="77777777" w:rsidR="00C27122" w:rsidRPr="00EA4101" w:rsidRDefault="00E00C40">
            <w:pPr>
              <w:pStyle w:val="NoSpacing"/>
              <w:jc w:val="both"/>
              <w:rPr>
                <w:rFonts w:ascii="Times New Roman" w:hAnsi="Times New Roman" w:cs="Times New Roman"/>
                <w:sz w:val="21"/>
                <w:szCs w:val="21"/>
                <w:lang w:val="sr-Cyrl-RS"/>
              </w:rPr>
            </w:pPr>
            <w:r w:rsidRPr="00EA4101">
              <w:rPr>
                <w:rFonts w:ascii="Times New Roman" w:hAnsi="Times New Roman" w:cs="Times New Roman"/>
                <w:sz w:val="21"/>
                <w:szCs w:val="21"/>
                <w:lang w:val="sr-Cyrl-RS"/>
              </w:rPr>
              <w:t xml:space="preserve">Израђивач Извештаја о СПУ наводи да се предметна стратешка процена утицаја бави вредновањем тј. проценом утицаја стратешких мера и решења на животну средину која су дефинисана Зеленом агендом. То није тачно јер Израђивач Извештаја о СПУ није узео у обзир Зелену агенду приликом утврђивања циљева </w:t>
            </w:r>
            <w:r w:rsidRPr="00EA4101">
              <w:rPr>
                <w:rFonts w:ascii="Times New Roman" w:hAnsi="Times New Roman" w:cs="Times New Roman"/>
                <w:sz w:val="21"/>
                <w:szCs w:val="21"/>
                <w:lang w:val="sr-Cyrl-RS"/>
              </w:rPr>
              <w:lastRenderedPageBreak/>
              <w:t xml:space="preserve">стратешке процене утицаја нити приликом представљања варијантних решења. </w:t>
            </w:r>
          </w:p>
          <w:p w14:paraId="77762228" w14:textId="77777777" w:rsidR="00C27122" w:rsidRPr="00EA4101" w:rsidRDefault="00C27122">
            <w:pPr>
              <w:spacing w:line="276" w:lineRule="auto"/>
              <w:jc w:val="both"/>
              <w:rPr>
                <w:sz w:val="21"/>
                <w:szCs w:val="21"/>
                <w:lang w:val="sr-Cyrl-RS"/>
              </w:rPr>
            </w:pPr>
          </w:p>
        </w:tc>
        <w:tc>
          <w:tcPr>
            <w:tcW w:w="2258" w:type="pct"/>
            <w:tcBorders>
              <w:top w:val="single" w:sz="4" w:space="0" w:color="auto"/>
              <w:left w:val="single" w:sz="4" w:space="0" w:color="auto"/>
              <w:right w:val="single" w:sz="4" w:space="0" w:color="auto"/>
            </w:tcBorders>
          </w:tcPr>
          <w:p w14:paraId="33AE4A9C" w14:textId="407108BB" w:rsidR="008C7EFB" w:rsidRPr="008C7EFB" w:rsidRDefault="00E00C40">
            <w:pPr>
              <w:spacing w:line="276" w:lineRule="auto"/>
              <w:jc w:val="both"/>
              <w:rPr>
                <w:b/>
                <w:bCs/>
                <w:sz w:val="21"/>
                <w:szCs w:val="21"/>
                <w:lang w:val="sr-Cyrl-RS"/>
              </w:rPr>
            </w:pPr>
            <w:r w:rsidRPr="00EA4101">
              <w:rPr>
                <w:b/>
                <w:bCs/>
                <w:sz w:val="21"/>
                <w:szCs w:val="21"/>
                <w:lang w:val="sr-Cyrl-RS"/>
              </w:rPr>
              <w:lastRenderedPageBreak/>
              <w:t>Прихвата се коментар</w:t>
            </w:r>
            <w:r w:rsidR="00BE5E00">
              <w:rPr>
                <w:b/>
                <w:bCs/>
                <w:sz w:val="21"/>
                <w:szCs w:val="21"/>
              </w:rPr>
              <w:t>.</w:t>
            </w:r>
          </w:p>
          <w:p w14:paraId="33EF6CA1" w14:textId="77777777" w:rsidR="008C7EFB" w:rsidRPr="008C7EFB" w:rsidRDefault="008C7EFB">
            <w:pPr>
              <w:spacing w:line="276" w:lineRule="auto"/>
              <w:jc w:val="both"/>
              <w:rPr>
                <w:sz w:val="16"/>
                <w:szCs w:val="16"/>
                <w:lang w:val="sr-Cyrl-RS"/>
              </w:rPr>
            </w:pPr>
          </w:p>
          <w:p w14:paraId="11B6D91B" w14:textId="0DA9C304" w:rsidR="00C27122" w:rsidRDefault="00A934A4">
            <w:pPr>
              <w:spacing w:line="276" w:lineRule="auto"/>
              <w:jc w:val="both"/>
              <w:rPr>
                <w:sz w:val="21"/>
                <w:szCs w:val="21"/>
                <w:lang w:val="sr-Cyrl-RS"/>
              </w:rPr>
            </w:pPr>
            <w:r w:rsidRPr="008C7EFB">
              <w:rPr>
                <w:sz w:val="21"/>
                <w:szCs w:val="21"/>
                <w:lang w:val="sr-Cyrl-RS"/>
              </w:rPr>
              <w:t>У уводним напоменама на страни број 1 СПУ од другог до претпоследњег пасуса</w:t>
            </w:r>
            <w:r w:rsidR="00B571F6">
              <w:rPr>
                <w:sz w:val="21"/>
                <w:szCs w:val="21"/>
                <w:lang w:val="sr-Cyrl-RS"/>
              </w:rPr>
              <w:t xml:space="preserve">, </w:t>
            </w:r>
            <w:r w:rsidR="00B571F6" w:rsidRPr="008C7EFB">
              <w:rPr>
                <w:sz w:val="21"/>
                <w:szCs w:val="21"/>
                <w:lang w:val="sr-Cyrl-RS"/>
              </w:rPr>
              <w:t xml:space="preserve">је додат </w:t>
            </w:r>
            <w:r w:rsidR="00B571F6">
              <w:rPr>
                <w:sz w:val="21"/>
                <w:szCs w:val="21"/>
                <w:lang w:val="sr-Cyrl-RS"/>
              </w:rPr>
              <w:t xml:space="preserve">следећи </w:t>
            </w:r>
            <w:r w:rsidR="00B571F6" w:rsidRPr="008C7EFB">
              <w:rPr>
                <w:sz w:val="21"/>
                <w:szCs w:val="21"/>
                <w:lang w:val="sr-Cyrl-RS"/>
              </w:rPr>
              <w:t>текст</w:t>
            </w:r>
            <w:r w:rsidR="00B571F6">
              <w:rPr>
                <w:sz w:val="21"/>
                <w:szCs w:val="21"/>
                <w:lang w:val="sr-Cyrl-RS"/>
              </w:rPr>
              <w:t>:</w:t>
            </w:r>
            <w:r w:rsidRPr="008C7EFB">
              <w:rPr>
                <w:sz w:val="21"/>
                <w:szCs w:val="21"/>
                <w:lang w:val="sr-Cyrl-RS"/>
              </w:rPr>
              <w:t xml:space="preserve"> </w:t>
            </w:r>
          </w:p>
          <w:p w14:paraId="3B390EBC" w14:textId="77777777" w:rsidR="00B571F6" w:rsidRPr="00B571F6" w:rsidRDefault="00B571F6" w:rsidP="00B571F6">
            <w:pPr>
              <w:spacing w:line="276" w:lineRule="auto"/>
              <w:jc w:val="both"/>
              <w:rPr>
                <w:sz w:val="21"/>
                <w:szCs w:val="21"/>
                <w:lang w:val="sr-Cyrl-RS"/>
              </w:rPr>
            </w:pPr>
            <w:r w:rsidRPr="00B571F6">
              <w:rPr>
                <w:sz w:val="21"/>
                <w:szCs w:val="21"/>
                <w:lang w:val="sr-Cyrl-RS"/>
              </w:rPr>
              <w:t xml:space="preserve">Стратегија заштите животне средине - Зелена Агенда за Републику Србију, заснива се на Европском зеленом договору и повезаном економском и инвестиционом плану. Зелена агенда је стратегија раста за регион која има за циљ да се ухвати у коштац са изазовима климатских промена и зелене транзиције и да помогне Републици Србији која припада региону Западног Балкана да усклади еколошке </w:t>
            </w:r>
            <w:r w:rsidRPr="00B571F6">
              <w:rPr>
                <w:sz w:val="21"/>
                <w:szCs w:val="21"/>
                <w:lang w:val="sr-Cyrl-RS"/>
              </w:rPr>
              <w:lastRenderedPageBreak/>
              <w:t xml:space="preserve">прописе са европским скупом заједничких права и обавеза које обавезују све државе чланице ЕУ.  </w:t>
            </w:r>
          </w:p>
          <w:p w14:paraId="1D3F2795" w14:textId="233586E5" w:rsidR="00B571F6" w:rsidRPr="00B571F6" w:rsidRDefault="00B571F6" w:rsidP="00B571F6">
            <w:pPr>
              <w:spacing w:line="276" w:lineRule="auto"/>
              <w:jc w:val="both"/>
              <w:rPr>
                <w:sz w:val="21"/>
                <w:szCs w:val="21"/>
                <w:lang w:val="sr-Cyrl-RS"/>
              </w:rPr>
            </w:pPr>
            <w:r w:rsidRPr="00B571F6">
              <w:rPr>
                <w:sz w:val="21"/>
                <w:szCs w:val="21"/>
                <w:lang w:val="sr-Cyrl-RS"/>
              </w:rPr>
              <w:t xml:space="preserve">Кључни аспекти Стратегије заштите животне средине у </w:t>
            </w:r>
            <w:r>
              <w:rPr>
                <w:sz w:val="21"/>
                <w:szCs w:val="21"/>
                <w:lang w:val="sr-Cyrl-RS"/>
              </w:rPr>
              <w:t>Р</w:t>
            </w:r>
            <w:r w:rsidRPr="00B571F6">
              <w:rPr>
                <w:sz w:val="21"/>
                <w:szCs w:val="21"/>
                <w:lang w:val="sr-Cyrl-RS"/>
              </w:rPr>
              <w:t xml:space="preserve">епублици Србији укључују унапређење правног и институционалног оквира за заштиту животне средине, јачање привреде засноване на нискоугљеничном развоју, стимулисање иновација и развој „зелених” технологија, како би се стимулисао зелени привредни раст и креирали нови зелени послови. </w:t>
            </w:r>
          </w:p>
          <w:p w14:paraId="1ADE53E0" w14:textId="77777777" w:rsidR="00B571F6" w:rsidRPr="00B571F6" w:rsidRDefault="00B571F6" w:rsidP="00B571F6">
            <w:pPr>
              <w:spacing w:line="276" w:lineRule="auto"/>
              <w:jc w:val="both"/>
              <w:rPr>
                <w:sz w:val="21"/>
                <w:szCs w:val="21"/>
                <w:lang w:val="sr-Cyrl-RS"/>
              </w:rPr>
            </w:pPr>
            <w:r w:rsidRPr="00B571F6">
              <w:rPr>
                <w:sz w:val="21"/>
                <w:szCs w:val="21"/>
                <w:lang w:val="sr-Cyrl-RS"/>
              </w:rPr>
              <w:t xml:space="preserve">С тим у вези, структура Стратегије одговара структури Зелене агенде и обухвата све области у оквиру пет стубова Зелене агенде: </w:t>
            </w:r>
          </w:p>
          <w:p w14:paraId="5E447C8F" w14:textId="77777777" w:rsidR="00B571F6" w:rsidRPr="00B571F6" w:rsidRDefault="00B571F6" w:rsidP="00B571F6">
            <w:pPr>
              <w:spacing w:line="276" w:lineRule="auto"/>
              <w:jc w:val="both"/>
              <w:rPr>
                <w:sz w:val="21"/>
                <w:szCs w:val="21"/>
                <w:lang w:val="sr-Cyrl-RS"/>
              </w:rPr>
            </w:pPr>
            <w:r w:rsidRPr="00B571F6">
              <w:rPr>
                <w:sz w:val="21"/>
                <w:szCs w:val="21"/>
                <w:lang w:val="sr-Cyrl-RS"/>
              </w:rPr>
              <w:t>1.</w:t>
            </w:r>
            <w:r w:rsidRPr="00B571F6">
              <w:rPr>
                <w:sz w:val="21"/>
                <w:szCs w:val="21"/>
                <w:lang w:val="sr-Cyrl-RS"/>
              </w:rPr>
              <w:tab/>
              <w:t xml:space="preserve">декарбонизација, </w:t>
            </w:r>
          </w:p>
          <w:p w14:paraId="046B5F08" w14:textId="77777777" w:rsidR="00B571F6" w:rsidRPr="00B571F6" w:rsidRDefault="00B571F6" w:rsidP="00B571F6">
            <w:pPr>
              <w:spacing w:line="276" w:lineRule="auto"/>
              <w:jc w:val="both"/>
              <w:rPr>
                <w:sz w:val="21"/>
                <w:szCs w:val="21"/>
                <w:lang w:val="sr-Cyrl-RS"/>
              </w:rPr>
            </w:pPr>
            <w:r w:rsidRPr="00B571F6">
              <w:rPr>
                <w:sz w:val="21"/>
                <w:szCs w:val="21"/>
                <w:lang w:val="sr-Cyrl-RS"/>
              </w:rPr>
              <w:t>2.</w:t>
            </w:r>
            <w:r w:rsidRPr="00B571F6">
              <w:rPr>
                <w:sz w:val="21"/>
                <w:szCs w:val="21"/>
                <w:lang w:val="sr-Cyrl-RS"/>
              </w:rPr>
              <w:tab/>
              <w:t>циркуларна економија,</w:t>
            </w:r>
          </w:p>
          <w:p w14:paraId="26296AA8" w14:textId="77777777" w:rsidR="00B571F6" w:rsidRPr="00B571F6" w:rsidRDefault="00B571F6" w:rsidP="00B571F6">
            <w:pPr>
              <w:spacing w:line="276" w:lineRule="auto"/>
              <w:jc w:val="both"/>
              <w:rPr>
                <w:sz w:val="21"/>
                <w:szCs w:val="21"/>
                <w:lang w:val="sr-Cyrl-RS"/>
              </w:rPr>
            </w:pPr>
            <w:r w:rsidRPr="00B571F6">
              <w:rPr>
                <w:sz w:val="21"/>
                <w:szCs w:val="21"/>
                <w:lang w:val="sr-Cyrl-RS"/>
              </w:rPr>
              <w:t>3.</w:t>
            </w:r>
            <w:r w:rsidRPr="00B571F6">
              <w:rPr>
                <w:sz w:val="21"/>
                <w:szCs w:val="21"/>
                <w:lang w:val="sr-Cyrl-RS"/>
              </w:rPr>
              <w:tab/>
              <w:t xml:space="preserve"> смањење загађења животне средине, </w:t>
            </w:r>
          </w:p>
          <w:p w14:paraId="1DED8414" w14:textId="77777777" w:rsidR="00B571F6" w:rsidRPr="00B571F6" w:rsidRDefault="00B571F6" w:rsidP="00B571F6">
            <w:pPr>
              <w:spacing w:line="276" w:lineRule="auto"/>
              <w:jc w:val="both"/>
              <w:rPr>
                <w:sz w:val="21"/>
                <w:szCs w:val="21"/>
                <w:lang w:val="sr-Cyrl-RS"/>
              </w:rPr>
            </w:pPr>
            <w:r w:rsidRPr="00B571F6">
              <w:rPr>
                <w:sz w:val="21"/>
                <w:szCs w:val="21"/>
                <w:lang w:val="sr-Cyrl-RS"/>
              </w:rPr>
              <w:t>4.</w:t>
            </w:r>
            <w:r w:rsidRPr="00B571F6">
              <w:rPr>
                <w:sz w:val="21"/>
                <w:szCs w:val="21"/>
                <w:lang w:val="sr-Cyrl-RS"/>
              </w:rPr>
              <w:tab/>
              <w:t>заштита биодиверзитета и</w:t>
            </w:r>
          </w:p>
          <w:p w14:paraId="3BF0ACF6" w14:textId="77777777" w:rsidR="00B571F6" w:rsidRPr="00B571F6" w:rsidRDefault="00B571F6" w:rsidP="00B571F6">
            <w:pPr>
              <w:spacing w:line="276" w:lineRule="auto"/>
              <w:jc w:val="both"/>
              <w:rPr>
                <w:sz w:val="21"/>
                <w:szCs w:val="21"/>
                <w:lang w:val="sr-Cyrl-RS"/>
              </w:rPr>
            </w:pPr>
            <w:r w:rsidRPr="00B571F6">
              <w:rPr>
                <w:sz w:val="21"/>
                <w:szCs w:val="21"/>
                <w:lang w:val="sr-Cyrl-RS"/>
              </w:rPr>
              <w:t>5.</w:t>
            </w:r>
            <w:r w:rsidRPr="00B571F6">
              <w:rPr>
                <w:sz w:val="21"/>
                <w:szCs w:val="21"/>
                <w:lang w:val="sr-Cyrl-RS"/>
              </w:rPr>
              <w:tab/>
              <w:t>заштита  екосистема и одржива пољопривреда и рурални разој).</w:t>
            </w:r>
          </w:p>
          <w:p w14:paraId="1B282DF7" w14:textId="77777777" w:rsidR="00B571F6" w:rsidRPr="00B571F6" w:rsidRDefault="00B571F6" w:rsidP="00B571F6">
            <w:pPr>
              <w:spacing w:line="276" w:lineRule="auto"/>
              <w:jc w:val="both"/>
              <w:rPr>
                <w:sz w:val="21"/>
                <w:szCs w:val="21"/>
                <w:lang w:val="sr-Cyrl-RS"/>
              </w:rPr>
            </w:pPr>
            <w:r w:rsidRPr="00B571F6">
              <w:rPr>
                <w:sz w:val="21"/>
                <w:szCs w:val="21"/>
                <w:lang w:val="sr-Cyrl-RS"/>
              </w:rPr>
              <w:t>У Стратегији су интегрисани циљеви Зелене агенде, у складу са Софијском декларацијом коју је Република Србија потписала новембра 2020. године, као и мере за даље усклађивање са прописима и стандардима Европске уније, као и механизами за праћење спровођења Стратегије. Циљеви имплементације Стратегије у Србији су:</w:t>
            </w:r>
          </w:p>
          <w:p w14:paraId="6F7812FA" w14:textId="77777777" w:rsidR="00B571F6" w:rsidRPr="00B571F6" w:rsidRDefault="00B571F6" w:rsidP="00B571F6">
            <w:pPr>
              <w:spacing w:line="276" w:lineRule="auto"/>
              <w:jc w:val="both"/>
              <w:rPr>
                <w:sz w:val="21"/>
                <w:szCs w:val="21"/>
                <w:lang w:val="sr-Cyrl-RS"/>
              </w:rPr>
            </w:pPr>
            <w:r w:rsidRPr="00B571F6">
              <w:rPr>
                <w:sz w:val="21"/>
                <w:szCs w:val="21"/>
                <w:lang w:val="sr-Cyrl-RS"/>
              </w:rPr>
              <w:t>•  унапређење стратешког и законодавног оквира,</w:t>
            </w:r>
          </w:p>
          <w:p w14:paraId="6C7CEE23" w14:textId="77777777" w:rsidR="00B571F6" w:rsidRPr="00B571F6" w:rsidRDefault="00B571F6" w:rsidP="00B571F6">
            <w:pPr>
              <w:spacing w:line="276" w:lineRule="auto"/>
              <w:jc w:val="both"/>
              <w:rPr>
                <w:sz w:val="21"/>
                <w:szCs w:val="21"/>
                <w:lang w:val="sr-Cyrl-RS"/>
              </w:rPr>
            </w:pPr>
            <w:r w:rsidRPr="00B571F6">
              <w:rPr>
                <w:sz w:val="21"/>
                <w:szCs w:val="21"/>
                <w:lang w:val="sr-Cyrl-RS"/>
              </w:rPr>
              <w:t>•  суфинансирање имплементације иновативних пилот пројеката и</w:t>
            </w:r>
          </w:p>
          <w:p w14:paraId="0FC8B585" w14:textId="77777777" w:rsidR="00B571F6" w:rsidRPr="00B571F6" w:rsidRDefault="00B571F6" w:rsidP="00B571F6">
            <w:pPr>
              <w:spacing w:line="276" w:lineRule="auto"/>
              <w:jc w:val="both"/>
              <w:rPr>
                <w:sz w:val="21"/>
                <w:szCs w:val="21"/>
                <w:lang w:val="sr-Cyrl-RS"/>
              </w:rPr>
            </w:pPr>
            <w:r w:rsidRPr="00B571F6">
              <w:rPr>
                <w:sz w:val="21"/>
                <w:szCs w:val="21"/>
                <w:lang w:val="sr-Cyrl-RS"/>
              </w:rPr>
              <w:t>•  мобилизирање додатног финансирања за повећање инвестиција.</w:t>
            </w:r>
          </w:p>
          <w:p w14:paraId="6C874761" w14:textId="77777777" w:rsidR="00B571F6" w:rsidRPr="00B571F6" w:rsidRDefault="00B571F6" w:rsidP="00B571F6">
            <w:pPr>
              <w:spacing w:line="276" w:lineRule="auto"/>
              <w:jc w:val="both"/>
              <w:rPr>
                <w:sz w:val="21"/>
                <w:szCs w:val="21"/>
                <w:lang w:val="sr-Cyrl-RS"/>
              </w:rPr>
            </w:pPr>
            <w:r w:rsidRPr="00B571F6">
              <w:rPr>
                <w:sz w:val="21"/>
                <w:szCs w:val="21"/>
                <w:lang w:val="sr-Cyrl-RS"/>
              </w:rPr>
              <w:lastRenderedPageBreak/>
              <w:t xml:space="preserve">Такође, утврђени су и посебни циљеви Стратегије у областима које обухвата Зелена агенда. </w:t>
            </w:r>
          </w:p>
          <w:p w14:paraId="1CCA47B5" w14:textId="77777777" w:rsidR="00B571F6" w:rsidRPr="00B571F6" w:rsidRDefault="00B571F6" w:rsidP="00B571F6">
            <w:pPr>
              <w:spacing w:line="276" w:lineRule="auto"/>
              <w:jc w:val="both"/>
              <w:rPr>
                <w:sz w:val="21"/>
                <w:szCs w:val="21"/>
                <w:lang w:val="sr-Cyrl-RS"/>
              </w:rPr>
            </w:pPr>
          </w:p>
          <w:p w14:paraId="172D9AC9" w14:textId="77777777" w:rsidR="00B571F6" w:rsidRPr="00B571F6" w:rsidRDefault="00B571F6" w:rsidP="00B571F6">
            <w:pPr>
              <w:spacing w:line="276" w:lineRule="auto"/>
              <w:jc w:val="both"/>
              <w:rPr>
                <w:sz w:val="21"/>
                <w:szCs w:val="21"/>
                <w:lang w:val="sr-Cyrl-RS"/>
              </w:rPr>
            </w:pPr>
            <w:r w:rsidRPr="00B571F6">
              <w:rPr>
                <w:sz w:val="21"/>
                <w:szCs w:val="21"/>
                <w:lang w:val="sr-Cyrl-RS"/>
              </w:rPr>
              <w:t>На овај начин Стратегија ће допринети зеленој трансформацији привреде и друштва у Србији.</w:t>
            </w:r>
          </w:p>
          <w:p w14:paraId="18661377" w14:textId="28FDBEC5" w:rsidR="00B571F6" w:rsidRPr="00EA4101" w:rsidRDefault="00B571F6" w:rsidP="00B571F6">
            <w:pPr>
              <w:spacing w:line="276" w:lineRule="auto"/>
              <w:jc w:val="both"/>
              <w:rPr>
                <w:sz w:val="21"/>
                <w:szCs w:val="21"/>
                <w:lang w:val="sr-Cyrl-RS"/>
              </w:rPr>
            </w:pPr>
            <w:r w:rsidRPr="00B571F6">
              <w:rPr>
                <w:sz w:val="21"/>
                <w:szCs w:val="21"/>
                <w:lang w:val="sr-Cyrl-RS"/>
              </w:rPr>
              <w:t xml:space="preserve">Стратегијом је креирана визија и општи оквир имплементације на основу којих су вршене процене користи и утицаји на животну средину. </w:t>
            </w:r>
          </w:p>
        </w:tc>
      </w:tr>
      <w:tr w:rsidR="00994D04" w:rsidRPr="00EA4101" w14:paraId="432C3149" w14:textId="77777777" w:rsidTr="00AF090E">
        <w:trPr>
          <w:trHeight w:val="275"/>
        </w:trPr>
        <w:tc>
          <w:tcPr>
            <w:tcW w:w="201" w:type="pct"/>
            <w:vMerge/>
            <w:tcBorders>
              <w:left w:val="single" w:sz="4" w:space="0" w:color="auto"/>
              <w:right w:val="single" w:sz="4" w:space="0" w:color="auto"/>
            </w:tcBorders>
          </w:tcPr>
          <w:p w14:paraId="521F9C65" w14:textId="77777777" w:rsidR="00C27122" w:rsidRPr="00EA4101" w:rsidRDefault="00C27122" w:rsidP="0094641A">
            <w:pPr>
              <w:numPr>
                <w:ilvl w:val="0"/>
                <w:numId w:val="1"/>
              </w:numPr>
              <w:spacing w:line="276" w:lineRule="auto"/>
              <w:jc w:val="center"/>
              <w:rPr>
                <w:sz w:val="21"/>
                <w:szCs w:val="21"/>
                <w:lang w:val="sr-Cyrl-RS"/>
              </w:rPr>
            </w:pPr>
          </w:p>
        </w:tc>
        <w:tc>
          <w:tcPr>
            <w:tcW w:w="509" w:type="pct"/>
            <w:vMerge/>
            <w:tcBorders>
              <w:left w:val="single" w:sz="4" w:space="0" w:color="auto"/>
              <w:right w:val="single" w:sz="4" w:space="0" w:color="auto"/>
            </w:tcBorders>
          </w:tcPr>
          <w:p w14:paraId="21BFC0CF" w14:textId="77777777" w:rsidR="00C27122" w:rsidRPr="00EA4101" w:rsidRDefault="00C27122">
            <w:pPr>
              <w:spacing w:line="276" w:lineRule="auto"/>
              <w:rPr>
                <w:sz w:val="21"/>
                <w:szCs w:val="21"/>
                <w:lang w:val="sr-Cyrl-RS"/>
              </w:rPr>
            </w:pPr>
          </w:p>
        </w:tc>
        <w:tc>
          <w:tcPr>
            <w:tcW w:w="559" w:type="pct"/>
            <w:tcBorders>
              <w:left w:val="single" w:sz="4" w:space="0" w:color="auto"/>
              <w:right w:val="single" w:sz="4" w:space="0" w:color="auto"/>
            </w:tcBorders>
          </w:tcPr>
          <w:p w14:paraId="5454912D" w14:textId="77777777" w:rsidR="00C27122" w:rsidRPr="00EA4101" w:rsidRDefault="00E00C40">
            <w:pPr>
              <w:spacing w:line="276" w:lineRule="auto"/>
              <w:rPr>
                <w:sz w:val="21"/>
                <w:szCs w:val="21"/>
                <w:lang w:val="sr-Cyrl-RS"/>
              </w:rPr>
            </w:pPr>
            <w:r w:rsidRPr="00EA4101">
              <w:rPr>
                <w:sz w:val="21"/>
                <w:szCs w:val="21"/>
                <w:lang w:val="sr-Cyrl-RS"/>
              </w:rPr>
              <w:t>Није дефинисано</w:t>
            </w:r>
          </w:p>
        </w:tc>
        <w:tc>
          <w:tcPr>
            <w:tcW w:w="1473" w:type="pct"/>
            <w:tcBorders>
              <w:top w:val="single" w:sz="4" w:space="0" w:color="auto"/>
              <w:left w:val="single" w:sz="4" w:space="0" w:color="auto"/>
              <w:bottom w:val="single" w:sz="4" w:space="0" w:color="auto"/>
              <w:right w:val="single" w:sz="4" w:space="0" w:color="auto"/>
            </w:tcBorders>
          </w:tcPr>
          <w:p w14:paraId="10D3BB47" w14:textId="77777777" w:rsidR="00C27122" w:rsidRPr="00EA4101" w:rsidRDefault="00E00C40">
            <w:pPr>
              <w:pStyle w:val="NoSpacing"/>
              <w:rPr>
                <w:rFonts w:ascii="Times New Roman" w:hAnsi="Times New Roman" w:cs="Times New Roman"/>
                <w:b/>
                <w:bCs/>
                <w:sz w:val="21"/>
                <w:szCs w:val="21"/>
                <w:lang w:val="sr-Latn-RS"/>
              </w:rPr>
            </w:pPr>
            <w:r w:rsidRPr="00EA4101">
              <w:rPr>
                <w:rFonts w:ascii="Times New Roman" w:hAnsi="Times New Roman" w:cs="Times New Roman"/>
                <w:b/>
                <w:bCs/>
                <w:sz w:val="21"/>
                <w:szCs w:val="21"/>
                <w:lang w:val="sr-Cyrl-RS"/>
              </w:rPr>
              <w:t>2.</w:t>
            </w:r>
            <w:r w:rsidRPr="00EA4101">
              <w:rPr>
                <w:rFonts w:ascii="Times New Roman" w:hAnsi="Times New Roman" w:cs="Times New Roman"/>
                <w:b/>
                <w:bCs/>
                <w:sz w:val="21"/>
                <w:szCs w:val="21"/>
                <w:lang w:val="sr-Latn-RS"/>
              </w:rPr>
              <w:t xml:space="preserve"> </w:t>
            </w:r>
            <w:r w:rsidRPr="00EA4101">
              <w:rPr>
                <w:rFonts w:ascii="Times New Roman" w:hAnsi="Times New Roman" w:cs="Times New Roman"/>
                <w:b/>
                <w:bCs/>
                <w:sz w:val="21"/>
                <w:szCs w:val="21"/>
                <w:lang w:val="sr-Cyrl-RS"/>
              </w:rPr>
              <w:t>Коментар</w:t>
            </w:r>
            <w:r w:rsidRPr="00EA4101">
              <w:rPr>
                <w:rFonts w:ascii="Times New Roman" w:hAnsi="Times New Roman" w:cs="Times New Roman"/>
                <w:b/>
                <w:bCs/>
                <w:sz w:val="21"/>
                <w:szCs w:val="21"/>
                <w:lang w:val="sr-Latn-RS"/>
              </w:rPr>
              <w:t>:</w:t>
            </w:r>
          </w:p>
          <w:p w14:paraId="2C977CE2" w14:textId="77777777" w:rsidR="00C27122" w:rsidRPr="00EA4101" w:rsidRDefault="00E00C40">
            <w:pPr>
              <w:pStyle w:val="NoSpacing"/>
              <w:rPr>
                <w:rFonts w:ascii="Times New Roman" w:hAnsi="Times New Roman" w:cs="Times New Roman"/>
                <w:b/>
                <w:bCs/>
                <w:sz w:val="21"/>
                <w:szCs w:val="21"/>
                <w:lang w:val="sr-Cyrl-RS"/>
              </w:rPr>
            </w:pPr>
            <w:r w:rsidRPr="00EA4101">
              <w:rPr>
                <w:rFonts w:ascii="Times New Roman" w:hAnsi="Times New Roman" w:cs="Times New Roman"/>
                <w:b/>
                <w:bCs/>
                <w:sz w:val="21"/>
                <w:szCs w:val="21"/>
                <w:lang w:val="sr-Cyrl-RS"/>
              </w:rPr>
              <w:t>1.1.3. Однос са другим документима и анализа институционалног оквира</w:t>
            </w:r>
          </w:p>
          <w:p w14:paraId="4B524C3B" w14:textId="77777777" w:rsidR="00C27122" w:rsidRPr="00EA4101" w:rsidRDefault="00E00C40">
            <w:pPr>
              <w:pStyle w:val="NoSpacing"/>
              <w:rPr>
                <w:rFonts w:ascii="Times New Roman" w:hAnsi="Times New Roman" w:cs="Times New Roman"/>
                <w:sz w:val="21"/>
                <w:szCs w:val="21"/>
                <w:lang w:val="sr-Cyrl-RS"/>
              </w:rPr>
            </w:pPr>
            <w:r w:rsidRPr="00EA4101">
              <w:rPr>
                <w:rFonts w:ascii="Times New Roman" w:hAnsi="Times New Roman" w:cs="Times New Roman"/>
                <w:sz w:val="21"/>
                <w:szCs w:val="21"/>
                <w:lang w:val="sr-Cyrl-RS"/>
              </w:rPr>
              <w:t xml:space="preserve">Израђивач Извештаја о СПУ се позива на документе који су истекли или на документе који су у фази нацрта или на документе који су усвојени а он то не зна. </w:t>
            </w:r>
          </w:p>
        </w:tc>
        <w:tc>
          <w:tcPr>
            <w:tcW w:w="2258" w:type="pct"/>
            <w:tcBorders>
              <w:left w:val="single" w:sz="4" w:space="0" w:color="auto"/>
              <w:right w:val="single" w:sz="4" w:space="0" w:color="auto"/>
            </w:tcBorders>
          </w:tcPr>
          <w:p w14:paraId="286CC3EC" w14:textId="77777777" w:rsidR="00BE5E00" w:rsidRDefault="00E00C40">
            <w:pPr>
              <w:spacing w:line="276" w:lineRule="auto"/>
              <w:jc w:val="both"/>
              <w:rPr>
                <w:b/>
                <w:bCs/>
                <w:sz w:val="21"/>
                <w:szCs w:val="21"/>
              </w:rPr>
            </w:pPr>
            <w:r w:rsidRPr="00EA4101">
              <w:rPr>
                <w:b/>
                <w:bCs/>
                <w:sz w:val="21"/>
                <w:szCs w:val="21"/>
                <w:lang w:val="sr-Cyrl-RS"/>
              </w:rPr>
              <w:t xml:space="preserve">Прихвата се коментар </w:t>
            </w:r>
          </w:p>
          <w:p w14:paraId="27782E3E" w14:textId="77777777" w:rsidR="00BE5E00" w:rsidRDefault="00BE5E00">
            <w:pPr>
              <w:spacing w:line="276" w:lineRule="auto"/>
              <w:jc w:val="both"/>
              <w:rPr>
                <w:b/>
                <w:bCs/>
                <w:sz w:val="21"/>
                <w:szCs w:val="21"/>
                <w:lang w:val="sr-Cyrl-RS"/>
              </w:rPr>
            </w:pPr>
          </w:p>
          <w:p w14:paraId="7E53DD05" w14:textId="5CA4934C" w:rsidR="00C103A6" w:rsidRPr="008C7EFB" w:rsidRDefault="00C103A6">
            <w:pPr>
              <w:spacing w:line="276" w:lineRule="auto"/>
              <w:jc w:val="both"/>
              <w:rPr>
                <w:sz w:val="21"/>
                <w:szCs w:val="21"/>
                <w:lang w:val="sr-Cyrl-RS"/>
              </w:rPr>
            </w:pPr>
            <w:r w:rsidRPr="008C7EFB">
              <w:rPr>
                <w:sz w:val="21"/>
                <w:szCs w:val="21"/>
                <w:lang w:val="sr-Cyrl-RS"/>
              </w:rPr>
              <w:t>Поглавље 1.1.3. на странама 12 до 1</w:t>
            </w:r>
            <w:r w:rsidR="00D701A2">
              <w:rPr>
                <w:sz w:val="21"/>
                <w:szCs w:val="21"/>
                <w:lang w:val="sr-Latn-RS"/>
              </w:rPr>
              <w:t>6</w:t>
            </w:r>
            <w:r w:rsidRPr="008C7EFB">
              <w:rPr>
                <w:sz w:val="21"/>
                <w:szCs w:val="21"/>
                <w:lang w:val="sr-Cyrl-RS"/>
              </w:rPr>
              <w:t xml:space="preserve"> је допуњено и исправљено у складу са коментаром</w:t>
            </w:r>
            <w:r w:rsidR="00A13651">
              <w:rPr>
                <w:sz w:val="21"/>
                <w:szCs w:val="21"/>
                <w:lang w:val="sr-Cyrl-RS"/>
              </w:rPr>
              <w:t>.</w:t>
            </w:r>
          </w:p>
          <w:p w14:paraId="4D1E8EDC" w14:textId="0E00ED93" w:rsidR="00C27122" w:rsidRPr="00EA4101" w:rsidRDefault="00C27122">
            <w:pPr>
              <w:spacing w:line="276" w:lineRule="auto"/>
              <w:jc w:val="both"/>
              <w:rPr>
                <w:b/>
                <w:bCs/>
                <w:sz w:val="21"/>
                <w:szCs w:val="21"/>
                <w:lang w:val="sr-Cyrl-RS"/>
              </w:rPr>
            </w:pPr>
          </w:p>
        </w:tc>
      </w:tr>
      <w:tr w:rsidR="00994D04" w:rsidRPr="00EA4101" w14:paraId="06F5289D" w14:textId="77777777" w:rsidTr="00AF090E">
        <w:trPr>
          <w:trHeight w:val="275"/>
        </w:trPr>
        <w:tc>
          <w:tcPr>
            <w:tcW w:w="201" w:type="pct"/>
            <w:vMerge/>
            <w:tcBorders>
              <w:left w:val="single" w:sz="4" w:space="0" w:color="auto"/>
              <w:right w:val="single" w:sz="4" w:space="0" w:color="auto"/>
            </w:tcBorders>
          </w:tcPr>
          <w:p w14:paraId="116B889A" w14:textId="77777777" w:rsidR="00C27122" w:rsidRPr="00EA4101" w:rsidRDefault="00C27122" w:rsidP="0094641A">
            <w:pPr>
              <w:numPr>
                <w:ilvl w:val="0"/>
                <w:numId w:val="1"/>
              </w:numPr>
              <w:spacing w:line="276" w:lineRule="auto"/>
              <w:jc w:val="center"/>
              <w:rPr>
                <w:sz w:val="21"/>
                <w:szCs w:val="21"/>
                <w:lang w:val="sr-Cyrl-RS"/>
              </w:rPr>
            </w:pPr>
          </w:p>
        </w:tc>
        <w:tc>
          <w:tcPr>
            <w:tcW w:w="509" w:type="pct"/>
            <w:vMerge/>
            <w:tcBorders>
              <w:left w:val="single" w:sz="4" w:space="0" w:color="auto"/>
              <w:right w:val="single" w:sz="4" w:space="0" w:color="auto"/>
            </w:tcBorders>
          </w:tcPr>
          <w:p w14:paraId="65642F92" w14:textId="77777777" w:rsidR="00C27122" w:rsidRPr="00EA4101" w:rsidRDefault="00C27122">
            <w:pPr>
              <w:spacing w:line="276" w:lineRule="auto"/>
              <w:rPr>
                <w:sz w:val="21"/>
                <w:szCs w:val="21"/>
                <w:lang w:val="sr-Cyrl-RS"/>
              </w:rPr>
            </w:pPr>
          </w:p>
        </w:tc>
        <w:tc>
          <w:tcPr>
            <w:tcW w:w="559" w:type="pct"/>
            <w:tcBorders>
              <w:left w:val="single" w:sz="4" w:space="0" w:color="auto"/>
              <w:right w:val="single" w:sz="4" w:space="0" w:color="auto"/>
            </w:tcBorders>
          </w:tcPr>
          <w:p w14:paraId="4F81D3A6" w14:textId="77777777" w:rsidR="00C27122" w:rsidRPr="00EA4101" w:rsidRDefault="00E00C40">
            <w:pPr>
              <w:spacing w:line="276" w:lineRule="auto"/>
              <w:rPr>
                <w:sz w:val="21"/>
                <w:szCs w:val="21"/>
                <w:lang w:val="sr-Cyrl-RS"/>
              </w:rPr>
            </w:pPr>
            <w:r w:rsidRPr="00EA4101">
              <w:rPr>
                <w:sz w:val="21"/>
                <w:szCs w:val="21"/>
                <w:lang w:val="sr-Cyrl-RS"/>
              </w:rPr>
              <w:t>Није дефинисано</w:t>
            </w:r>
          </w:p>
        </w:tc>
        <w:tc>
          <w:tcPr>
            <w:tcW w:w="1473" w:type="pct"/>
            <w:tcBorders>
              <w:top w:val="single" w:sz="4" w:space="0" w:color="auto"/>
              <w:left w:val="single" w:sz="4" w:space="0" w:color="auto"/>
              <w:bottom w:val="single" w:sz="4" w:space="0" w:color="auto"/>
              <w:right w:val="single" w:sz="4" w:space="0" w:color="auto"/>
            </w:tcBorders>
          </w:tcPr>
          <w:p w14:paraId="2E478234" w14:textId="77777777" w:rsidR="00C27122" w:rsidRPr="00EA4101" w:rsidRDefault="00E00C40">
            <w:pPr>
              <w:pStyle w:val="NoSpacing"/>
              <w:rPr>
                <w:rFonts w:ascii="Times New Roman" w:hAnsi="Times New Roman" w:cs="Times New Roman"/>
                <w:b/>
                <w:bCs/>
                <w:sz w:val="21"/>
                <w:szCs w:val="21"/>
                <w:lang w:val="sr-Cyrl-RS"/>
              </w:rPr>
            </w:pPr>
            <w:r w:rsidRPr="00EA4101">
              <w:rPr>
                <w:rFonts w:ascii="Times New Roman" w:hAnsi="Times New Roman" w:cs="Times New Roman"/>
                <w:b/>
                <w:bCs/>
                <w:sz w:val="21"/>
                <w:szCs w:val="21"/>
                <w:lang w:val="sr-Cyrl-RS"/>
              </w:rPr>
              <w:t>3.</w:t>
            </w:r>
            <w:r w:rsidRPr="00EA4101">
              <w:rPr>
                <w:rFonts w:ascii="Times New Roman" w:hAnsi="Times New Roman" w:cs="Times New Roman"/>
                <w:b/>
                <w:bCs/>
                <w:sz w:val="21"/>
                <w:szCs w:val="21"/>
                <w:lang w:val="sr-Latn-RS"/>
              </w:rPr>
              <w:t xml:space="preserve"> </w:t>
            </w:r>
            <w:r w:rsidRPr="00EA4101">
              <w:rPr>
                <w:rFonts w:ascii="Times New Roman" w:hAnsi="Times New Roman" w:cs="Times New Roman"/>
                <w:b/>
                <w:bCs/>
                <w:sz w:val="21"/>
                <w:szCs w:val="21"/>
                <w:lang w:val="sr-Cyrl-RS"/>
              </w:rPr>
              <w:t>Коментар</w:t>
            </w:r>
            <w:r w:rsidRPr="00EA4101">
              <w:rPr>
                <w:rFonts w:ascii="Times New Roman" w:hAnsi="Times New Roman" w:cs="Times New Roman"/>
                <w:b/>
                <w:bCs/>
                <w:sz w:val="21"/>
                <w:szCs w:val="21"/>
                <w:lang w:val="sr-Latn-RS"/>
              </w:rPr>
              <w:t>:</w:t>
            </w:r>
          </w:p>
          <w:p w14:paraId="3ACE5A56" w14:textId="77777777" w:rsidR="00C27122" w:rsidRPr="00EA4101" w:rsidRDefault="00E00C40">
            <w:pPr>
              <w:pStyle w:val="NoSpacing"/>
              <w:rPr>
                <w:rFonts w:ascii="Times New Roman" w:hAnsi="Times New Roman" w:cs="Times New Roman"/>
                <w:b/>
                <w:bCs/>
                <w:sz w:val="21"/>
                <w:szCs w:val="21"/>
                <w:lang w:val="sr-Cyrl-RS"/>
              </w:rPr>
            </w:pPr>
            <w:r w:rsidRPr="00EA4101">
              <w:rPr>
                <w:rFonts w:ascii="Times New Roman" w:hAnsi="Times New Roman" w:cs="Times New Roman"/>
                <w:b/>
                <w:bCs/>
                <w:sz w:val="21"/>
                <w:szCs w:val="21"/>
                <w:lang w:val="sr-Cyrl-RS"/>
              </w:rPr>
              <w:t>1.2. Преглед постојећег стања и квалитета животне средине на подручју на које се извештај односи</w:t>
            </w:r>
          </w:p>
          <w:p w14:paraId="6E225EFE" w14:textId="77777777" w:rsidR="00C27122" w:rsidRPr="00EA4101" w:rsidRDefault="00C27122">
            <w:pPr>
              <w:pStyle w:val="NoSpacing"/>
              <w:rPr>
                <w:rFonts w:ascii="Times New Roman" w:hAnsi="Times New Roman" w:cs="Times New Roman"/>
                <w:sz w:val="21"/>
                <w:szCs w:val="21"/>
                <w:lang w:val="sr-Cyrl-RS"/>
              </w:rPr>
            </w:pPr>
          </w:p>
          <w:p w14:paraId="38D90A5F" w14:textId="77777777" w:rsidR="00C27122" w:rsidRPr="00EA4101" w:rsidRDefault="00E00C40">
            <w:pPr>
              <w:pStyle w:val="NoSpacing"/>
              <w:rPr>
                <w:rFonts w:ascii="Times New Roman" w:hAnsi="Times New Roman" w:cs="Times New Roman"/>
                <w:b/>
                <w:bCs/>
                <w:sz w:val="21"/>
                <w:szCs w:val="21"/>
                <w:lang w:val="sr-Cyrl-RS"/>
              </w:rPr>
            </w:pPr>
            <w:r w:rsidRPr="00EA4101">
              <w:rPr>
                <w:rFonts w:ascii="Times New Roman" w:hAnsi="Times New Roman" w:cs="Times New Roman"/>
                <w:sz w:val="21"/>
                <w:szCs w:val="21"/>
                <w:lang w:val="sr-Cyrl-RS"/>
              </w:rPr>
              <w:t xml:space="preserve">Израђивач Извештаја о СПУ не користи ажурне податке о стању животне средине и не наводи изворе информација. </w:t>
            </w:r>
          </w:p>
          <w:p w14:paraId="42A15874" w14:textId="77777777" w:rsidR="00C27122" w:rsidRPr="00EA4101" w:rsidRDefault="00C27122">
            <w:pPr>
              <w:spacing w:line="276" w:lineRule="auto"/>
              <w:jc w:val="both"/>
              <w:rPr>
                <w:sz w:val="21"/>
                <w:szCs w:val="21"/>
                <w:lang w:val="sr-Cyrl-RS"/>
              </w:rPr>
            </w:pPr>
          </w:p>
        </w:tc>
        <w:tc>
          <w:tcPr>
            <w:tcW w:w="2258" w:type="pct"/>
            <w:tcBorders>
              <w:left w:val="single" w:sz="4" w:space="0" w:color="auto"/>
              <w:right w:val="single" w:sz="4" w:space="0" w:color="auto"/>
            </w:tcBorders>
          </w:tcPr>
          <w:p w14:paraId="334822D1" w14:textId="77777777" w:rsidR="008C7EFB" w:rsidRDefault="001A560D">
            <w:pPr>
              <w:spacing w:line="276" w:lineRule="auto"/>
              <w:jc w:val="both"/>
              <w:rPr>
                <w:b/>
                <w:bCs/>
                <w:sz w:val="21"/>
                <w:szCs w:val="21"/>
                <w:lang w:val="sr-Cyrl-RS"/>
              </w:rPr>
            </w:pPr>
            <w:r w:rsidRPr="00EA4101">
              <w:rPr>
                <w:b/>
                <w:bCs/>
                <w:sz w:val="21"/>
                <w:szCs w:val="21"/>
                <w:lang w:val="sr-Cyrl-RS"/>
              </w:rPr>
              <w:t xml:space="preserve">Прихвата се коментар </w:t>
            </w:r>
          </w:p>
          <w:p w14:paraId="14071610" w14:textId="77777777" w:rsidR="008C7EFB" w:rsidRDefault="008C7EFB">
            <w:pPr>
              <w:spacing w:line="276" w:lineRule="auto"/>
              <w:jc w:val="both"/>
              <w:rPr>
                <w:sz w:val="21"/>
                <w:szCs w:val="21"/>
                <w:lang w:val="sr-Cyrl-RS"/>
              </w:rPr>
            </w:pPr>
          </w:p>
          <w:p w14:paraId="5A8F37F0" w14:textId="31C23349" w:rsidR="004C16F0" w:rsidRPr="008C7EFB" w:rsidRDefault="00C103A6">
            <w:pPr>
              <w:spacing w:line="276" w:lineRule="auto"/>
              <w:jc w:val="both"/>
              <w:rPr>
                <w:sz w:val="21"/>
                <w:szCs w:val="21"/>
                <w:lang w:val="sr-Cyrl-RS"/>
              </w:rPr>
            </w:pPr>
            <w:r w:rsidRPr="008C7EFB">
              <w:rPr>
                <w:sz w:val="21"/>
                <w:szCs w:val="21"/>
                <w:lang w:val="sr-Cyrl-RS"/>
              </w:rPr>
              <w:t xml:space="preserve">Поглавље 1.2. на странама од 18 до </w:t>
            </w:r>
            <w:r w:rsidR="00D701A2">
              <w:rPr>
                <w:sz w:val="21"/>
                <w:szCs w:val="21"/>
                <w:lang w:val="sr-Latn-RS"/>
              </w:rPr>
              <w:t>59</w:t>
            </w:r>
            <w:r w:rsidRPr="008C7EFB">
              <w:rPr>
                <w:sz w:val="21"/>
                <w:szCs w:val="21"/>
                <w:lang w:val="sr-Cyrl-RS"/>
              </w:rPr>
              <w:t xml:space="preserve"> је допуњено и и исправљено у складу са коментаром.</w:t>
            </w:r>
          </w:p>
          <w:p w14:paraId="42CB291D" w14:textId="51B79503" w:rsidR="00C27122" w:rsidRPr="0094641A" w:rsidRDefault="00C27122" w:rsidP="008C7EFB">
            <w:pPr>
              <w:spacing w:line="276" w:lineRule="auto"/>
              <w:jc w:val="both"/>
              <w:rPr>
                <w:sz w:val="21"/>
                <w:szCs w:val="21"/>
                <w:lang w:val="sr-Cyrl-RS"/>
              </w:rPr>
            </w:pPr>
          </w:p>
        </w:tc>
      </w:tr>
      <w:tr w:rsidR="00994D04" w:rsidRPr="00EA4101" w14:paraId="3644F426" w14:textId="77777777" w:rsidTr="00AF090E">
        <w:trPr>
          <w:trHeight w:val="275"/>
        </w:trPr>
        <w:tc>
          <w:tcPr>
            <w:tcW w:w="201" w:type="pct"/>
            <w:vMerge/>
            <w:tcBorders>
              <w:left w:val="single" w:sz="4" w:space="0" w:color="auto"/>
              <w:right w:val="single" w:sz="4" w:space="0" w:color="auto"/>
            </w:tcBorders>
          </w:tcPr>
          <w:p w14:paraId="0623B1CE" w14:textId="77777777" w:rsidR="00C27122" w:rsidRPr="00EA4101" w:rsidRDefault="00C27122" w:rsidP="0094641A">
            <w:pPr>
              <w:numPr>
                <w:ilvl w:val="0"/>
                <w:numId w:val="1"/>
              </w:numPr>
              <w:spacing w:line="276" w:lineRule="auto"/>
              <w:jc w:val="center"/>
              <w:rPr>
                <w:sz w:val="21"/>
                <w:szCs w:val="21"/>
                <w:lang w:val="sr-Cyrl-RS"/>
              </w:rPr>
            </w:pPr>
          </w:p>
        </w:tc>
        <w:tc>
          <w:tcPr>
            <w:tcW w:w="509" w:type="pct"/>
            <w:vMerge/>
            <w:tcBorders>
              <w:left w:val="single" w:sz="4" w:space="0" w:color="auto"/>
              <w:right w:val="single" w:sz="4" w:space="0" w:color="auto"/>
            </w:tcBorders>
          </w:tcPr>
          <w:p w14:paraId="2268EA1A" w14:textId="77777777" w:rsidR="00C27122" w:rsidRPr="00EA4101" w:rsidRDefault="00C27122">
            <w:pPr>
              <w:spacing w:line="276" w:lineRule="auto"/>
              <w:rPr>
                <w:sz w:val="21"/>
                <w:szCs w:val="21"/>
                <w:lang w:val="sr-Cyrl-RS"/>
              </w:rPr>
            </w:pPr>
          </w:p>
        </w:tc>
        <w:tc>
          <w:tcPr>
            <w:tcW w:w="559" w:type="pct"/>
            <w:tcBorders>
              <w:left w:val="single" w:sz="4" w:space="0" w:color="auto"/>
              <w:right w:val="single" w:sz="4" w:space="0" w:color="auto"/>
            </w:tcBorders>
          </w:tcPr>
          <w:p w14:paraId="2DE9BF1D" w14:textId="77777777" w:rsidR="00C27122" w:rsidRPr="00EA4101" w:rsidRDefault="00E00C40">
            <w:pPr>
              <w:spacing w:line="276" w:lineRule="auto"/>
              <w:rPr>
                <w:sz w:val="21"/>
                <w:szCs w:val="21"/>
                <w:lang w:val="sr-Cyrl-RS"/>
              </w:rPr>
            </w:pPr>
            <w:r w:rsidRPr="00EA4101">
              <w:rPr>
                <w:sz w:val="21"/>
                <w:szCs w:val="21"/>
                <w:lang w:val="sr-Cyrl-RS"/>
              </w:rPr>
              <w:t>Није дефинисано</w:t>
            </w:r>
          </w:p>
        </w:tc>
        <w:tc>
          <w:tcPr>
            <w:tcW w:w="1473" w:type="pct"/>
            <w:tcBorders>
              <w:top w:val="single" w:sz="4" w:space="0" w:color="auto"/>
              <w:left w:val="single" w:sz="4" w:space="0" w:color="auto"/>
              <w:bottom w:val="single" w:sz="4" w:space="0" w:color="auto"/>
              <w:right w:val="single" w:sz="4" w:space="0" w:color="auto"/>
            </w:tcBorders>
          </w:tcPr>
          <w:p w14:paraId="6AD737B4" w14:textId="77777777" w:rsidR="00C27122" w:rsidRPr="00EA4101" w:rsidRDefault="00E00C40">
            <w:pPr>
              <w:pStyle w:val="NoSpacing"/>
              <w:rPr>
                <w:rFonts w:ascii="Times New Roman" w:hAnsi="Times New Roman" w:cs="Times New Roman"/>
                <w:b/>
                <w:bCs/>
                <w:sz w:val="21"/>
                <w:szCs w:val="21"/>
                <w:lang w:val="sr-Cyrl-RS"/>
              </w:rPr>
            </w:pPr>
            <w:r w:rsidRPr="00EA4101">
              <w:rPr>
                <w:rFonts w:ascii="Times New Roman" w:hAnsi="Times New Roman" w:cs="Times New Roman"/>
                <w:b/>
                <w:bCs/>
                <w:sz w:val="21"/>
                <w:szCs w:val="21"/>
                <w:lang w:val="sr-Cyrl-RS"/>
              </w:rPr>
              <w:t>4.</w:t>
            </w:r>
            <w:r w:rsidRPr="00EA4101">
              <w:rPr>
                <w:rFonts w:ascii="Times New Roman" w:hAnsi="Times New Roman" w:cs="Times New Roman"/>
                <w:b/>
                <w:bCs/>
                <w:sz w:val="21"/>
                <w:szCs w:val="21"/>
                <w:lang w:val="sr-Latn-RS"/>
              </w:rPr>
              <w:t xml:space="preserve"> </w:t>
            </w:r>
            <w:r w:rsidRPr="00EA4101">
              <w:rPr>
                <w:rFonts w:ascii="Times New Roman" w:hAnsi="Times New Roman" w:cs="Times New Roman"/>
                <w:b/>
                <w:bCs/>
                <w:sz w:val="21"/>
                <w:szCs w:val="21"/>
                <w:lang w:val="sr-Cyrl-RS"/>
              </w:rPr>
              <w:t>Коментар</w:t>
            </w:r>
            <w:r w:rsidRPr="00EA4101">
              <w:rPr>
                <w:rFonts w:ascii="Times New Roman" w:hAnsi="Times New Roman" w:cs="Times New Roman"/>
                <w:b/>
                <w:bCs/>
                <w:sz w:val="21"/>
                <w:szCs w:val="21"/>
                <w:lang w:val="sr-Latn-RS"/>
              </w:rPr>
              <w:t>:</w:t>
            </w:r>
          </w:p>
          <w:p w14:paraId="06B0AEA5" w14:textId="749C8118" w:rsidR="00C27122" w:rsidRPr="0094641A" w:rsidRDefault="00E00C40">
            <w:pPr>
              <w:pStyle w:val="NoSpacing"/>
              <w:rPr>
                <w:rFonts w:ascii="Times New Roman" w:hAnsi="Times New Roman" w:cs="Times New Roman"/>
                <w:b/>
                <w:bCs/>
                <w:sz w:val="21"/>
                <w:szCs w:val="21"/>
                <w:lang w:val="sr-Cyrl-RS"/>
              </w:rPr>
            </w:pPr>
            <w:r w:rsidRPr="00EA4101">
              <w:rPr>
                <w:rFonts w:ascii="Times New Roman" w:hAnsi="Times New Roman" w:cs="Times New Roman"/>
                <w:b/>
                <w:bCs/>
                <w:sz w:val="21"/>
                <w:szCs w:val="21"/>
                <w:lang w:val="sr-Cyrl-RS"/>
              </w:rPr>
              <w:lastRenderedPageBreak/>
              <w:t>1.2. Преглед постојећег стања и квалитета животне средине на подручју на које се извештај односи</w:t>
            </w:r>
          </w:p>
          <w:p w14:paraId="7B5582F0" w14:textId="331160F1" w:rsidR="00C27122" w:rsidRPr="00EA4101" w:rsidRDefault="00E00C40" w:rsidP="0094641A">
            <w:pPr>
              <w:pStyle w:val="NoSpacing"/>
              <w:rPr>
                <w:rFonts w:ascii="Times New Roman" w:hAnsi="Times New Roman" w:cs="Times New Roman"/>
                <w:sz w:val="21"/>
                <w:szCs w:val="21"/>
                <w:lang w:val="sr-Cyrl-RS"/>
              </w:rPr>
            </w:pPr>
            <w:r w:rsidRPr="00EA4101">
              <w:rPr>
                <w:rFonts w:ascii="Times New Roman" w:hAnsi="Times New Roman" w:cs="Times New Roman"/>
                <w:sz w:val="21"/>
                <w:szCs w:val="21"/>
                <w:lang w:val="sr-Cyrl-RS"/>
              </w:rPr>
              <w:t xml:space="preserve">Преглед постојећег стања је непотпун, не садржи детаљне информације о стању животне средине и не истиче карактеристике животне средине у областима  за које постоји могућност да буду изложене значајном утицају. </w:t>
            </w:r>
          </w:p>
        </w:tc>
        <w:tc>
          <w:tcPr>
            <w:tcW w:w="2258" w:type="pct"/>
            <w:tcBorders>
              <w:left w:val="single" w:sz="4" w:space="0" w:color="auto"/>
              <w:right w:val="single" w:sz="4" w:space="0" w:color="auto"/>
            </w:tcBorders>
          </w:tcPr>
          <w:p w14:paraId="78A06A00" w14:textId="4615EDC3" w:rsidR="00C27122" w:rsidRDefault="00E00C40">
            <w:pPr>
              <w:spacing w:line="276" w:lineRule="auto"/>
              <w:jc w:val="both"/>
              <w:rPr>
                <w:b/>
                <w:bCs/>
                <w:sz w:val="21"/>
                <w:szCs w:val="21"/>
                <w:lang w:val="sr-Cyrl-RS"/>
              </w:rPr>
            </w:pPr>
            <w:r w:rsidRPr="00EA4101">
              <w:rPr>
                <w:b/>
                <w:bCs/>
                <w:sz w:val="21"/>
                <w:szCs w:val="21"/>
                <w:lang w:val="sr-Cyrl-RS"/>
              </w:rPr>
              <w:lastRenderedPageBreak/>
              <w:t xml:space="preserve">Прихвата се коментар </w:t>
            </w:r>
            <w:r w:rsidR="00FF4602">
              <w:rPr>
                <w:b/>
                <w:bCs/>
                <w:sz w:val="21"/>
                <w:szCs w:val="21"/>
              </w:rPr>
              <w:t>.</w:t>
            </w:r>
          </w:p>
          <w:p w14:paraId="6A82C251" w14:textId="77777777" w:rsidR="008C7EFB" w:rsidRDefault="008C7EFB" w:rsidP="00C103A6">
            <w:pPr>
              <w:spacing w:line="276" w:lineRule="auto"/>
              <w:jc w:val="both"/>
              <w:rPr>
                <w:sz w:val="21"/>
                <w:szCs w:val="21"/>
                <w:lang w:val="sr-Cyrl-RS"/>
              </w:rPr>
            </w:pPr>
          </w:p>
          <w:p w14:paraId="4BC26CF4" w14:textId="77777777" w:rsidR="00AF090E" w:rsidRPr="00AF090E" w:rsidRDefault="00AF090E" w:rsidP="00AF090E">
            <w:pPr>
              <w:spacing w:line="276" w:lineRule="auto"/>
              <w:jc w:val="both"/>
              <w:rPr>
                <w:sz w:val="21"/>
                <w:szCs w:val="21"/>
                <w:lang w:val="sr-Cyrl-RS"/>
              </w:rPr>
            </w:pPr>
            <w:r w:rsidRPr="00AF090E">
              <w:rPr>
                <w:sz w:val="21"/>
                <w:szCs w:val="21"/>
                <w:lang w:val="sr-Cyrl-RS"/>
              </w:rPr>
              <w:t>Додат је нови део текста:</w:t>
            </w:r>
          </w:p>
          <w:p w14:paraId="7CDAB589" w14:textId="77777777" w:rsidR="00AF090E" w:rsidRPr="00AF090E" w:rsidRDefault="00AF090E" w:rsidP="00AF090E">
            <w:pPr>
              <w:spacing w:line="276" w:lineRule="auto"/>
              <w:jc w:val="both"/>
              <w:rPr>
                <w:sz w:val="21"/>
                <w:szCs w:val="21"/>
                <w:lang w:val="sr-Cyrl-RS"/>
              </w:rPr>
            </w:pPr>
            <w:r w:rsidRPr="00AF090E">
              <w:rPr>
                <w:sz w:val="21"/>
                <w:szCs w:val="21"/>
                <w:lang w:val="sr-Cyrl-RS"/>
              </w:rPr>
              <w:lastRenderedPageBreak/>
              <w:t xml:space="preserve">Инвентар гасова са ефектом стаклене баште за период 1990 – 2021. годинe, укључују CО2, CH4, N2О, HFCs, PFCs, SF6 и NF3, и израђени су за потребе Трећег извештаја Републике Србије према Оквирној конвенцији Уједињених нација о промени климе. </w:t>
            </w:r>
          </w:p>
          <w:p w14:paraId="6D73545C" w14:textId="77777777" w:rsidR="00AF090E" w:rsidRPr="00AF090E" w:rsidRDefault="00AF090E" w:rsidP="00AF090E">
            <w:pPr>
              <w:spacing w:line="276" w:lineRule="auto"/>
              <w:jc w:val="both"/>
              <w:rPr>
                <w:sz w:val="21"/>
                <w:szCs w:val="21"/>
                <w:lang w:val="sr-Cyrl-RS"/>
              </w:rPr>
            </w:pPr>
            <w:r w:rsidRPr="00AF090E">
              <w:rPr>
                <w:sz w:val="21"/>
                <w:szCs w:val="21"/>
                <w:lang w:val="sr-Cyrl-RS"/>
              </w:rPr>
              <w:t>Према подацима из поменутог извештаја, емисије из енергетског сектора традиционално имају највеће доприносе у GHG емисијама, следе пољопривреда, индустријски процеси и употреба производа, док најмање, али не и занемарљиве доприносе дају сектори управљања отпадом и употреба земљишта, промена употребе земљишта и шумарство (LULUCF).  На слици испод, дат је приказ укупне емисије гасова са ефектом стаклене баште и доприноси по секторима за период 1990-2021.</w:t>
            </w:r>
          </w:p>
          <w:p w14:paraId="2BA83F87" w14:textId="7C78368B" w:rsidR="00FF4602" w:rsidRPr="008C7EFB" w:rsidRDefault="00AF090E" w:rsidP="00AF090E">
            <w:pPr>
              <w:spacing w:line="276" w:lineRule="auto"/>
              <w:jc w:val="both"/>
              <w:rPr>
                <w:b/>
                <w:bCs/>
                <w:color w:val="00B050"/>
                <w:sz w:val="21"/>
                <w:szCs w:val="21"/>
              </w:rPr>
            </w:pPr>
            <w:r w:rsidRPr="00AF090E">
              <w:rPr>
                <w:sz w:val="21"/>
                <w:szCs w:val="21"/>
                <w:lang w:val="sr-Cyrl-RS"/>
              </w:rPr>
              <w:t xml:space="preserve">У 2021. години емисије из сектора енергетике су биле 49.197 Gg CО2 еq, што представља 79,1% укупних GHG емисија, што је за 2,1% мање у односу на 2010. годину. Највећи удео у емисијама из енергетског сектора емитовано је у подсектору: активности сагоревања горива и то 95,6% емисија. У 2021. години емисије из сектора индустријских процеса и употребе производа износиле су 5.064 Gg CО2 еq, односно 8,1% укупних емисија и биле су веће 1,9% него у 2010. години. Емисије из сектора пољопривреде у 2021. години су биле 4.733 CО2 еq, што је 14,8% мање од емисија из овог сектора у току 2010. године. Употреба земљишта, промена употребе земљишта и шумарство (LULUCF) је у 2021. години био понор од 4.181 CО2 еq и пратило га је смањење од 31% у односу на 2010. годину. Коначно, емисије из сектора управљање отпадом износиле </w:t>
            </w:r>
            <w:r w:rsidRPr="00AF090E">
              <w:rPr>
                <w:sz w:val="21"/>
                <w:szCs w:val="21"/>
                <w:lang w:val="sr-Cyrl-RS"/>
              </w:rPr>
              <w:lastRenderedPageBreak/>
              <w:t>су 3.192 Gg CО2 еq, односно 5,1% укупних GHG емисија и исте су се повећале за 5,2% у односу на 2010. годину.</w:t>
            </w:r>
          </w:p>
        </w:tc>
      </w:tr>
      <w:tr w:rsidR="00994D04" w:rsidRPr="00EA4101" w14:paraId="5A01E388" w14:textId="77777777" w:rsidTr="00AF090E">
        <w:trPr>
          <w:trHeight w:val="275"/>
        </w:trPr>
        <w:tc>
          <w:tcPr>
            <w:tcW w:w="201" w:type="pct"/>
            <w:vMerge/>
            <w:tcBorders>
              <w:left w:val="single" w:sz="4" w:space="0" w:color="auto"/>
              <w:right w:val="single" w:sz="4" w:space="0" w:color="auto"/>
            </w:tcBorders>
          </w:tcPr>
          <w:p w14:paraId="0E571499" w14:textId="77777777" w:rsidR="00C27122" w:rsidRPr="00EA4101" w:rsidRDefault="00C27122" w:rsidP="0094641A">
            <w:pPr>
              <w:numPr>
                <w:ilvl w:val="0"/>
                <w:numId w:val="1"/>
              </w:numPr>
              <w:spacing w:line="276" w:lineRule="auto"/>
              <w:jc w:val="center"/>
              <w:rPr>
                <w:sz w:val="21"/>
                <w:szCs w:val="21"/>
                <w:lang w:val="sr-Cyrl-RS"/>
              </w:rPr>
            </w:pPr>
          </w:p>
        </w:tc>
        <w:tc>
          <w:tcPr>
            <w:tcW w:w="509" w:type="pct"/>
            <w:vMerge/>
            <w:tcBorders>
              <w:left w:val="single" w:sz="4" w:space="0" w:color="auto"/>
              <w:right w:val="single" w:sz="4" w:space="0" w:color="auto"/>
            </w:tcBorders>
          </w:tcPr>
          <w:p w14:paraId="3DBDED4D" w14:textId="77777777" w:rsidR="00C27122" w:rsidRPr="00EA4101" w:rsidRDefault="00C27122">
            <w:pPr>
              <w:spacing w:line="276" w:lineRule="auto"/>
              <w:rPr>
                <w:sz w:val="21"/>
                <w:szCs w:val="21"/>
                <w:lang w:val="sr-Cyrl-RS"/>
              </w:rPr>
            </w:pPr>
          </w:p>
        </w:tc>
        <w:tc>
          <w:tcPr>
            <w:tcW w:w="559" w:type="pct"/>
            <w:tcBorders>
              <w:left w:val="single" w:sz="4" w:space="0" w:color="auto"/>
              <w:right w:val="single" w:sz="4" w:space="0" w:color="auto"/>
            </w:tcBorders>
          </w:tcPr>
          <w:p w14:paraId="3A4573E5" w14:textId="77777777" w:rsidR="00C27122" w:rsidRPr="00EA4101" w:rsidRDefault="00E00C40">
            <w:pPr>
              <w:spacing w:line="276" w:lineRule="auto"/>
              <w:rPr>
                <w:sz w:val="21"/>
                <w:szCs w:val="21"/>
                <w:lang w:val="sr-Cyrl-RS"/>
              </w:rPr>
            </w:pPr>
            <w:r w:rsidRPr="00EA4101">
              <w:rPr>
                <w:sz w:val="21"/>
                <w:szCs w:val="21"/>
                <w:lang w:val="sr-Cyrl-RS"/>
              </w:rPr>
              <w:t>Није дефинисано</w:t>
            </w:r>
          </w:p>
        </w:tc>
        <w:tc>
          <w:tcPr>
            <w:tcW w:w="1473" w:type="pct"/>
            <w:tcBorders>
              <w:top w:val="single" w:sz="4" w:space="0" w:color="auto"/>
              <w:left w:val="single" w:sz="4" w:space="0" w:color="auto"/>
              <w:bottom w:val="single" w:sz="4" w:space="0" w:color="auto"/>
              <w:right w:val="single" w:sz="4" w:space="0" w:color="auto"/>
            </w:tcBorders>
          </w:tcPr>
          <w:p w14:paraId="529F771F" w14:textId="77777777" w:rsidR="00C27122" w:rsidRPr="00EA4101" w:rsidRDefault="00E00C40">
            <w:pPr>
              <w:pStyle w:val="NoSpacing"/>
              <w:rPr>
                <w:rFonts w:ascii="Times New Roman" w:hAnsi="Times New Roman" w:cs="Times New Roman"/>
                <w:b/>
                <w:bCs/>
                <w:sz w:val="21"/>
                <w:szCs w:val="21"/>
                <w:lang w:val="sr-Cyrl-RS"/>
              </w:rPr>
            </w:pPr>
            <w:r w:rsidRPr="00EA4101">
              <w:rPr>
                <w:rFonts w:ascii="Times New Roman" w:hAnsi="Times New Roman" w:cs="Times New Roman"/>
                <w:b/>
                <w:bCs/>
                <w:sz w:val="21"/>
                <w:szCs w:val="21"/>
                <w:lang w:val="sr-Cyrl-RS"/>
              </w:rPr>
              <w:t>5.</w:t>
            </w:r>
            <w:r w:rsidRPr="00EA4101">
              <w:rPr>
                <w:rFonts w:ascii="Times New Roman" w:hAnsi="Times New Roman" w:cs="Times New Roman"/>
                <w:b/>
                <w:bCs/>
                <w:sz w:val="21"/>
                <w:szCs w:val="21"/>
                <w:lang w:val="sr-Latn-RS"/>
              </w:rPr>
              <w:t xml:space="preserve"> </w:t>
            </w:r>
            <w:r w:rsidRPr="00EA4101">
              <w:rPr>
                <w:rFonts w:ascii="Times New Roman" w:hAnsi="Times New Roman" w:cs="Times New Roman"/>
                <w:b/>
                <w:bCs/>
                <w:sz w:val="21"/>
                <w:szCs w:val="21"/>
                <w:lang w:val="sr-Cyrl-RS"/>
              </w:rPr>
              <w:t>Коментар</w:t>
            </w:r>
            <w:r w:rsidRPr="00EA4101">
              <w:rPr>
                <w:rFonts w:ascii="Times New Roman" w:hAnsi="Times New Roman" w:cs="Times New Roman"/>
                <w:b/>
                <w:bCs/>
                <w:sz w:val="21"/>
                <w:szCs w:val="21"/>
                <w:lang w:val="sr-Latn-RS"/>
              </w:rPr>
              <w:t>:</w:t>
            </w:r>
          </w:p>
          <w:p w14:paraId="77818ECB" w14:textId="77777777" w:rsidR="00C27122" w:rsidRPr="00EA4101" w:rsidRDefault="00E00C40">
            <w:pPr>
              <w:pStyle w:val="NoSpacing"/>
              <w:rPr>
                <w:rFonts w:ascii="Times New Roman" w:hAnsi="Times New Roman" w:cs="Times New Roman"/>
                <w:b/>
                <w:bCs/>
                <w:sz w:val="21"/>
                <w:szCs w:val="21"/>
                <w:lang w:val="sr-Cyrl-RS"/>
              </w:rPr>
            </w:pPr>
            <w:r w:rsidRPr="00EA4101">
              <w:rPr>
                <w:rFonts w:ascii="Times New Roman" w:hAnsi="Times New Roman" w:cs="Times New Roman"/>
                <w:b/>
                <w:bCs/>
                <w:sz w:val="21"/>
                <w:szCs w:val="21"/>
                <w:lang w:val="sr-Cyrl-RS"/>
              </w:rPr>
              <w:t xml:space="preserve">1.2.2  Климатске промене </w:t>
            </w:r>
          </w:p>
          <w:p w14:paraId="404FF044" w14:textId="77777777" w:rsidR="00C27122" w:rsidRPr="00EA4101" w:rsidRDefault="00E00C40">
            <w:pPr>
              <w:pStyle w:val="NoSpacing"/>
              <w:rPr>
                <w:rFonts w:ascii="Times New Roman" w:hAnsi="Times New Roman" w:cs="Times New Roman"/>
                <w:b/>
                <w:bCs/>
                <w:sz w:val="21"/>
                <w:szCs w:val="21"/>
                <w:lang w:val="sr-Cyrl-RS"/>
              </w:rPr>
            </w:pPr>
            <w:r w:rsidRPr="00EA4101">
              <w:rPr>
                <w:rFonts w:ascii="Times New Roman" w:hAnsi="Times New Roman" w:cs="Times New Roman"/>
                <w:b/>
                <w:bCs/>
                <w:sz w:val="21"/>
                <w:szCs w:val="21"/>
                <w:lang w:val="sr-Cyrl-RS"/>
              </w:rPr>
              <w:t xml:space="preserve">1.2.2.1 Ублажавање утицаја климатских промена  </w:t>
            </w:r>
          </w:p>
          <w:p w14:paraId="157BF8A1" w14:textId="4A4CFCF2" w:rsidR="00C27122" w:rsidRPr="00EA4101" w:rsidRDefault="00E00C40">
            <w:pPr>
              <w:spacing w:line="276" w:lineRule="auto"/>
              <w:jc w:val="both"/>
              <w:rPr>
                <w:sz w:val="21"/>
                <w:szCs w:val="21"/>
                <w:lang w:val="sr-Cyrl-RS"/>
              </w:rPr>
            </w:pPr>
            <w:r w:rsidRPr="00EA4101">
              <w:rPr>
                <w:sz w:val="21"/>
                <w:szCs w:val="21"/>
                <w:lang w:val="sr-Cyrl-RS"/>
              </w:rPr>
              <w:t xml:space="preserve">Израђивач Извештаја о СПУ не анализира податке и изводи закључке без објашњења како је до одређених промена, које могу утицати на животну средину дошло. </w:t>
            </w:r>
          </w:p>
        </w:tc>
        <w:tc>
          <w:tcPr>
            <w:tcW w:w="2258" w:type="pct"/>
            <w:tcBorders>
              <w:left w:val="single" w:sz="4" w:space="0" w:color="auto"/>
              <w:right w:val="single" w:sz="4" w:space="0" w:color="auto"/>
            </w:tcBorders>
          </w:tcPr>
          <w:p w14:paraId="56043425" w14:textId="2D14C409" w:rsidR="00FF4602" w:rsidRPr="00AF090E" w:rsidRDefault="001A560D">
            <w:pPr>
              <w:spacing w:line="276" w:lineRule="auto"/>
              <w:jc w:val="both"/>
              <w:rPr>
                <w:b/>
                <w:bCs/>
                <w:sz w:val="21"/>
                <w:szCs w:val="21"/>
                <w:lang w:val="sr-Cyrl-RS"/>
              </w:rPr>
            </w:pPr>
            <w:r w:rsidRPr="00AF090E">
              <w:rPr>
                <w:b/>
                <w:bCs/>
                <w:sz w:val="21"/>
                <w:szCs w:val="21"/>
                <w:lang w:val="sr-Cyrl-RS"/>
              </w:rPr>
              <w:t xml:space="preserve">Прихвата се коментар </w:t>
            </w:r>
          </w:p>
          <w:p w14:paraId="5D39C3ED" w14:textId="1468D3B7" w:rsidR="00AF090E" w:rsidRPr="00AF090E" w:rsidRDefault="00AF090E" w:rsidP="00AF090E">
            <w:pPr>
              <w:spacing w:line="276" w:lineRule="auto"/>
              <w:jc w:val="both"/>
              <w:rPr>
                <w:sz w:val="21"/>
                <w:szCs w:val="21"/>
                <w:lang w:val="sr-Latn-RS"/>
              </w:rPr>
            </w:pPr>
          </w:p>
          <w:p w14:paraId="0C1E3012" w14:textId="77777777" w:rsidR="00AF090E" w:rsidRPr="00AF090E" w:rsidRDefault="00AF090E" w:rsidP="00AF090E">
            <w:pPr>
              <w:spacing w:line="276" w:lineRule="auto"/>
              <w:jc w:val="both"/>
              <w:rPr>
                <w:sz w:val="21"/>
                <w:szCs w:val="21"/>
                <w:lang w:val="sr-Cyrl-RS"/>
              </w:rPr>
            </w:pPr>
            <w:r w:rsidRPr="00AF090E">
              <w:rPr>
                <w:sz w:val="21"/>
                <w:szCs w:val="21"/>
                <w:lang w:val="sr-Cyrl-RS"/>
              </w:rPr>
              <w:t xml:space="preserve">Инвентар гасова са ефектом стаклене баште за период 1990 – 2021. годинe, укључују CО2, CH4, N2О, HFCs, PFCs, SF6 и NF3, и израђени су за потребе Трећег извештаја Републике Србије према Оквирној конвенцији Уједињених нација о промени климе. </w:t>
            </w:r>
          </w:p>
          <w:p w14:paraId="7D26D543" w14:textId="77777777" w:rsidR="00AF090E" w:rsidRPr="00AF090E" w:rsidRDefault="00AF090E" w:rsidP="00AF090E">
            <w:pPr>
              <w:spacing w:line="276" w:lineRule="auto"/>
              <w:jc w:val="both"/>
              <w:rPr>
                <w:sz w:val="21"/>
                <w:szCs w:val="21"/>
                <w:lang w:val="sr-Cyrl-RS"/>
              </w:rPr>
            </w:pPr>
            <w:r w:rsidRPr="00AF090E">
              <w:rPr>
                <w:sz w:val="21"/>
                <w:szCs w:val="21"/>
                <w:lang w:val="sr-Cyrl-RS"/>
              </w:rPr>
              <w:t>Према подацима из поменутог извештаја, емисије из енергетског сектора традиционално имају највеће доприносе у GHG емисијама, следе пољопривреда, индустријски процеси и употреба производа, док најмање, али не и занемарљиве доприносе дају сектори управљања отпадом и употреба земљишта, промена употребе земљишта и шумарство (LULUCF).  На слици испод, дат је приказ укупне емисије гасова са ефектом стаклене баште и доприноси по секторима за период 1990-2021.</w:t>
            </w:r>
          </w:p>
          <w:p w14:paraId="0346C87E" w14:textId="55D06A6B" w:rsidR="00C27122" w:rsidRPr="00AF090E" w:rsidRDefault="00AF090E" w:rsidP="00AF090E">
            <w:pPr>
              <w:spacing w:line="276" w:lineRule="auto"/>
              <w:jc w:val="both"/>
              <w:rPr>
                <w:sz w:val="21"/>
                <w:szCs w:val="21"/>
                <w:lang w:val="sr-Cyrl-RS"/>
              </w:rPr>
            </w:pPr>
            <w:r w:rsidRPr="00AF090E">
              <w:rPr>
                <w:sz w:val="21"/>
                <w:szCs w:val="21"/>
                <w:lang w:val="sr-Cyrl-RS"/>
              </w:rPr>
              <w:t xml:space="preserve">У 2021. години емисије из сектора енергетике су биле 49.197 Gg CО2 еq, што представља 79,1% укупних GHG емисија, што је за 2,1% мање у односу на 2010. годину. Највећи удео у емисијама из енергетског сектора емитовано је у подсектору: активности сагоревања горива и то 95,6% емисија. У 2021. години емисије из сектора индустријских процеса и употребе производа износиле су 5.064 Gg CО2 еq, односно 8,1% укупних емисија и биле су веће 1,9% него у 2010. години. Емисије из сектора пољопривреде у 2021. години су биле 4.733 CО2 еq, што је 14,8% мање од емисија из овог </w:t>
            </w:r>
            <w:r w:rsidRPr="00AF090E">
              <w:rPr>
                <w:sz w:val="21"/>
                <w:szCs w:val="21"/>
                <w:lang w:val="sr-Cyrl-RS"/>
              </w:rPr>
              <w:lastRenderedPageBreak/>
              <w:t>сектора у току 2010. године. Употреба земљишта, промена употребе земљишта и шумарство (LULUCF) је у 2021. години био понор од 4.181 CО2 еq и пратило га је смањење од 31% у односу на 2010. годину. Коначно, емисије из сектора управљање отпадом износиле су 3.192 Gg CО2 еq, односно 5,1% укупних GHG емисија и исте су се повећале за 5,2% у односу на 2010. годину.</w:t>
            </w:r>
          </w:p>
          <w:p w14:paraId="5E9E7B91" w14:textId="1159BFE8" w:rsidR="00FF4602" w:rsidRPr="00AF090E" w:rsidRDefault="00FF4602" w:rsidP="00FF4602">
            <w:pPr>
              <w:spacing w:line="276" w:lineRule="auto"/>
              <w:jc w:val="both"/>
              <w:rPr>
                <w:sz w:val="21"/>
                <w:szCs w:val="21"/>
                <w:lang w:val="sr-Cyrl-RS"/>
              </w:rPr>
            </w:pPr>
          </w:p>
        </w:tc>
      </w:tr>
      <w:tr w:rsidR="00994D04" w:rsidRPr="00EA4101" w14:paraId="01EBB9AB" w14:textId="77777777" w:rsidTr="00AF090E">
        <w:trPr>
          <w:trHeight w:val="275"/>
        </w:trPr>
        <w:tc>
          <w:tcPr>
            <w:tcW w:w="201" w:type="pct"/>
            <w:vMerge/>
            <w:tcBorders>
              <w:left w:val="single" w:sz="4" w:space="0" w:color="auto"/>
              <w:right w:val="single" w:sz="4" w:space="0" w:color="auto"/>
            </w:tcBorders>
          </w:tcPr>
          <w:p w14:paraId="1582C79A" w14:textId="77777777" w:rsidR="00C27122" w:rsidRPr="00EA4101" w:rsidRDefault="00C27122" w:rsidP="0094641A">
            <w:pPr>
              <w:numPr>
                <w:ilvl w:val="0"/>
                <w:numId w:val="1"/>
              </w:numPr>
              <w:spacing w:line="276" w:lineRule="auto"/>
              <w:jc w:val="center"/>
              <w:rPr>
                <w:sz w:val="21"/>
                <w:szCs w:val="21"/>
                <w:lang w:val="sr-Cyrl-RS"/>
              </w:rPr>
            </w:pPr>
          </w:p>
        </w:tc>
        <w:tc>
          <w:tcPr>
            <w:tcW w:w="509" w:type="pct"/>
            <w:vMerge/>
            <w:tcBorders>
              <w:left w:val="single" w:sz="4" w:space="0" w:color="auto"/>
              <w:right w:val="single" w:sz="4" w:space="0" w:color="auto"/>
            </w:tcBorders>
          </w:tcPr>
          <w:p w14:paraId="553027B3" w14:textId="77777777" w:rsidR="00C27122" w:rsidRPr="00EA4101" w:rsidRDefault="00C27122">
            <w:pPr>
              <w:spacing w:line="276" w:lineRule="auto"/>
              <w:rPr>
                <w:sz w:val="21"/>
                <w:szCs w:val="21"/>
                <w:lang w:val="sr-Cyrl-RS"/>
              </w:rPr>
            </w:pPr>
          </w:p>
        </w:tc>
        <w:tc>
          <w:tcPr>
            <w:tcW w:w="559" w:type="pct"/>
            <w:tcBorders>
              <w:left w:val="single" w:sz="4" w:space="0" w:color="auto"/>
              <w:right w:val="single" w:sz="4" w:space="0" w:color="auto"/>
            </w:tcBorders>
          </w:tcPr>
          <w:p w14:paraId="336FE62E" w14:textId="77777777" w:rsidR="00C27122" w:rsidRPr="00EA4101" w:rsidRDefault="00E00C40">
            <w:pPr>
              <w:spacing w:line="276" w:lineRule="auto"/>
              <w:rPr>
                <w:sz w:val="21"/>
                <w:szCs w:val="21"/>
                <w:lang w:val="sr-Cyrl-RS"/>
              </w:rPr>
            </w:pPr>
            <w:r w:rsidRPr="00EA4101">
              <w:rPr>
                <w:sz w:val="21"/>
                <w:szCs w:val="21"/>
                <w:lang w:val="sr-Cyrl-RS"/>
              </w:rPr>
              <w:t>Није дефинисано</w:t>
            </w:r>
          </w:p>
        </w:tc>
        <w:tc>
          <w:tcPr>
            <w:tcW w:w="1473" w:type="pct"/>
            <w:tcBorders>
              <w:top w:val="single" w:sz="4" w:space="0" w:color="auto"/>
              <w:left w:val="single" w:sz="4" w:space="0" w:color="auto"/>
              <w:bottom w:val="single" w:sz="4" w:space="0" w:color="auto"/>
              <w:right w:val="single" w:sz="4" w:space="0" w:color="auto"/>
            </w:tcBorders>
          </w:tcPr>
          <w:p w14:paraId="386181B5" w14:textId="77777777" w:rsidR="00C27122" w:rsidRPr="00EA4101" w:rsidRDefault="00E00C40">
            <w:pPr>
              <w:pStyle w:val="NoSpacing"/>
              <w:rPr>
                <w:rFonts w:ascii="Times New Roman" w:hAnsi="Times New Roman" w:cs="Times New Roman"/>
                <w:b/>
                <w:bCs/>
                <w:sz w:val="21"/>
                <w:szCs w:val="21"/>
                <w:lang w:val="sr-Cyrl-RS"/>
              </w:rPr>
            </w:pPr>
            <w:r w:rsidRPr="00EA4101">
              <w:rPr>
                <w:rFonts w:ascii="Times New Roman" w:hAnsi="Times New Roman" w:cs="Times New Roman"/>
                <w:b/>
                <w:bCs/>
                <w:sz w:val="21"/>
                <w:szCs w:val="21"/>
                <w:lang w:val="sr-Cyrl-RS"/>
              </w:rPr>
              <w:t>6.</w:t>
            </w:r>
            <w:r w:rsidRPr="00EA4101">
              <w:rPr>
                <w:rFonts w:ascii="Times New Roman" w:hAnsi="Times New Roman" w:cs="Times New Roman"/>
                <w:b/>
                <w:bCs/>
                <w:sz w:val="21"/>
                <w:szCs w:val="21"/>
                <w:lang w:val="sr-Latn-RS"/>
              </w:rPr>
              <w:t xml:space="preserve"> </w:t>
            </w:r>
            <w:r w:rsidRPr="00EA4101">
              <w:rPr>
                <w:rFonts w:ascii="Times New Roman" w:hAnsi="Times New Roman" w:cs="Times New Roman"/>
                <w:b/>
                <w:bCs/>
                <w:sz w:val="21"/>
                <w:szCs w:val="21"/>
                <w:lang w:val="sr-Cyrl-RS"/>
              </w:rPr>
              <w:t>Коментар</w:t>
            </w:r>
            <w:r w:rsidRPr="00EA4101">
              <w:rPr>
                <w:rFonts w:ascii="Times New Roman" w:hAnsi="Times New Roman" w:cs="Times New Roman"/>
                <w:b/>
                <w:bCs/>
                <w:sz w:val="21"/>
                <w:szCs w:val="21"/>
                <w:lang w:val="sr-Latn-RS"/>
              </w:rPr>
              <w:t>:</w:t>
            </w:r>
          </w:p>
          <w:p w14:paraId="7C789761" w14:textId="77777777" w:rsidR="00C27122" w:rsidRPr="00EA4101" w:rsidRDefault="00E00C40">
            <w:pPr>
              <w:pStyle w:val="NoSpacing"/>
              <w:rPr>
                <w:rFonts w:ascii="Times New Roman" w:hAnsi="Times New Roman" w:cs="Times New Roman"/>
                <w:b/>
                <w:bCs/>
                <w:sz w:val="21"/>
                <w:szCs w:val="21"/>
                <w:lang w:val="sr-Cyrl-RS"/>
              </w:rPr>
            </w:pPr>
            <w:r w:rsidRPr="00EA4101">
              <w:rPr>
                <w:rFonts w:ascii="Times New Roman" w:hAnsi="Times New Roman" w:cs="Times New Roman"/>
                <w:b/>
                <w:bCs/>
                <w:sz w:val="21"/>
                <w:szCs w:val="21"/>
                <w:lang w:val="sr-Cyrl-RS"/>
              </w:rPr>
              <w:t xml:space="preserve">1.2.4. </w:t>
            </w:r>
            <w:r w:rsidRPr="00EA4101">
              <w:rPr>
                <w:rFonts w:ascii="Times New Roman" w:hAnsi="Times New Roman" w:cs="Times New Roman"/>
                <w:b/>
                <w:bCs/>
                <w:sz w:val="21"/>
                <w:szCs w:val="21"/>
                <w:lang w:val="sr-Cyrl-RS"/>
              </w:rPr>
              <w:tab/>
              <w:t>Квалитет животне средине и фактори утицаја</w:t>
            </w:r>
          </w:p>
          <w:p w14:paraId="39547048" w14:textId="77777777" w:rsidR="00C27122" w:rsidRPr="00EA4101" w:rsidRDefault="00E00C40">
            <w:pPr>
              <w:pStyle w:val="NoSpacing"/>
              <w:rPr>
                <w:rFonts w:ascii="Times New Roman" w:hAnsi="Times New Roman" w:cs="Times New Roman"/>
                <w:b/>
                <w:bCs/>
                <w:sz w:val="21"/>
                <w:szCs w:val="21"/>
                <w:lang w:val="sr-Cyrl-RS"/>
              </w:rPr>
            </w:pPr>
            <w:r w:rsidRPr="00EA4101">
              <w:rPr>
                <w:rFonts w:ascii="Times New Roman" w:hAnsi="Times New Roman" w:cs="Times New Roman"/>
                <w:b/>
                <w:bCs/>
                <w:sz w:val="21"/>
                <w:szCs w:val="21"/>
                <w:lang w:val="sr-Cyrl-RS"/>
              </w:rPr>
              <w:t>1.2.4.1 Квалитет ваздуха</w:t>
            </w:r>
          </w:p>
          <w:p w14:paraId="66DE389E" w14:textId="0690A75C" w:rsidR="00C27122" w:rsidRPr="00EA4101" w:rsidRDefault="00E00C40">
            <w:pPr>
              <w:spacing w:line="276" w:lineRule="auto"/>
              <w:jc w:val="both"/>
              <w:rPr>
                <w:sz w:val="21"/>
                <w:szCs w:val="21"/>
                <w:lang w:val="sr-Cyrl-RS"/>
              </w:rPr>
            </w:pPr>
            <w:r w:rsidRPr="00EA4101">
              <w:rPr>
                <w:sz w:val="21"/>
                <w:szCs w:val="21"/>
                <w:lang w:val="sr-Cyrl-RS"/>
              </w:rPr>
              <w:t xml:space="preserve">Израђивач Извештаја о СПУ не приказује и не анализира трендове, већ приказује само стање квалитета ваздуха у 2022. години. </w:t>
            </w:r>
          </w:p>
        </w:tc>
        <w:tc>
          <w:tcPr>
            <w:tcW w:w="2258" w:type="pct"/>
            <w:tcBorders>
              <w:left w:val="single" w:sz="4" w:space="0" w:color="auto"/>
              <w:right w:val="single" w:sz="4" w:space="0" w:color="auto"/>
            </w:tcBorders>
          </w:tcPr>
          <w:p w14:paraId="48AADACB" w14:textId="77777777" w:rsidR="008C7EFB" w:rsidRPr="00AF090E" w:rsidRDefault="00E00C40" w:rsidP="00F7793A">
            <w:pPr>
              <w:spacing w:line="276" w:lineRule="auto"/>
              <w:jc w:val="both"/>
              <w:rPr>
                <w:b/>
                <w:bCs/>
                <w:sz w:val="21"/>
                <w:szCs w:val="21"/>
                <w:lang w:val="sr-Cyrl-RS"/>
              </w:rPr>
            </w:pPr>
            <w:r w:rsidRPr="00AF090E">
              <w:rPr>
                <w:b/>
                <w:bCs/>
                <w:sz w:val="21"/>
                <w:szCs w:val="21"/>
                <w:lang w:val="sr-Cyrl-RS"/>
              </w:rPr>
              <w:t xml:space="preserve">Прихвата се коментар </w:t>
            </w:r>
          </w:p>
          <w:p w14:paraId="3ECE748B" w14:textId="77777777" w:rsidR="008C7EFB" w:rsidRPr="00AF090E" w:rsidRDefault="008C7EFB" w:rsidP="00F7793A">
            <w:pPr>
              <w:spacing w:line="276" w:lineRule="auto"/>
              <w:jc w:val="both"/>
              <w:rPr>
                <w:b/>
                <w:bCs/>
                <w:sz w:val="21"/>
                <w:szCs w:val="21"/>
                <w:highlight w:val="cyan"/>
                <w:lang w:val="sr-Cyrl-RS"/>
              </w:rPr>
            </w:pPr>
          </w:p>
          <w:p w14:paraId="2B762C4A" w14:textId="440AE299" w:rsidR="00F7793A" w:rsidRPr="00AF090E" w:rsidRDefault="00DD699D" w:rsidP="00F7793A">
            <w:pPr>
              <w:spacing w:line="276" w:lineRule="auto"/>
              <w:jc w:val="both"/>
              <w:rPr>
                <w:sz w:val="21"/>
                <w:szCs w:val="21"/>
                <w:lang w:val="sr-Cyrl-RS"/>
              </w:rPr>
            </w:pPr>
            <w:r w:rsidRPr="00AF090E">
              <w:rPr>
                <w:sz w:val="21"/>
                <w:szCs w:val="21"/>
                <w:lang w:val="sr-Cyrl-RS"/>
              </w:rPr>
              <w:t>Поглавље 1.2.4.1 Квалитет ваздуха на странама од 2</w:t>
            </w:r>
            <w:r w:rsidR="00D701A2">
              <w:rPr>
                <w:sz w:val="21"/>
                <w:szCs w:val="21"/>
                <w:lang w:val="sr-Latn-RS"/>
              </w:rPr>
              <w:t>8</w:t>
            </w:r>
            <w:r w:rsidRPr="00AF090E">
              <w:rPr>
                <w:sz w:val="21"/>
                <w:szCs w:val="21"/>
                <w:lang w:val="sr-Cyrl-RS"/>
              </w:rPr>
              <w:t xml:space="preserve"> до 3</w:t>
            </w:r>
            <w:r w:rsidR="00D701A2">
              <w:rPr>
                <w:sz w:val="21"/>
                <w:szCs w:val="21"/>
                <w:lang w:val="sr-Latn-RS"/>
              </w:rPr>
              <w:t>4</w:t>
            </w:r>
            <w:r w:rsidRPr="00AF090E">
              <w:rPr>
                <w:sz w:val="21"/>
                <w:szCs w:val="21"/>
                <w:lang w:val="sr-Cyrl-RS"/>
              </w:rPr>
              <w:t xml:space="preserve"> је исправљено у складу са коментаром</w:t>
            </w:r>
          </w:p>
          <w:p w14:paraId="6CF33FC9" w14:textId="2FFCBA3B" w:rsidR="00AF090E" w:rsidRPr="00AF090E" w:rsidRDefault="00AF090E" w:rsidP="00AF090E">
            <w:pPr>
              <w:spacing w:line="276" w:lineRule="auto"/>
              <w:jc w:val="both"/>
              <w:rPr>
                <w:sz w:val="21"/>
                <w:szCs w:val="21"/>
                <w:lang w:val="sr-Latn-RS"/>
              </w:rPr>
            </w:pPr>
            <w:r w:rsidRPr="00AF090E">
              <w:rPr>
                <w:sz w:val="21"/>
                <w:szCs w:val="21"/>
                <w:lang w:val="sr-Cyrl-RS"/>
              </w:rPr>
              <w:t>Додат је нови део текста:</w:t>
            </w:r>
          </w:p>
          <w:p w14:paraId="4AE302D2" w14:textId="77777777" w:rsidR="00AF090E" w:rsidRPr="00AF090E" w:rsidRDefault="00AF090E" w:rsidP="00AF090E">
            <w:pPr>
              <w:spacing w:line="276" w:lineRule="auto"/>
              <w:jc w:val="both"/>
              <w:rPr>
                <w:sz w:val="21"/>
                <w:szCs w:val="21"/>
                <w:lang w:val="sr-Cyrl-RS"/>
              </w:rPr>
            </w:pPr>
            <w:r w:rsidRPr="00AF090E">
              <w:rPr>
                <w:sz w:val="21"/>
                <w:szCs w:val="21"/>
                <w:lang w:val="sr-Cyrl-RS"/>
              </w:rPr>
              <w:t>Тренд квалитета ваздуха по зонама, агломерацијама и градовима у периоду између 2016. и 2023. године, показује да се квалитет ваздуха у свим градовима постепено погоршавала и у последње три године спада у трећу категорију, сем у случају Сремске Митровице и Зрењанина. Код Сремске Митровице је оцена квалитета ваздуха варирала из године у годину и у последњих осам година је пет пута била у категорији I, а остала три пута у категорији III.  Када је у питању град Зрењанин, тренд квалитета вазхуха се прати од 2019. године, када је спадао у катергорију I, након чега је три године био у категорији III, да би се у току 2023. године поново вратио у I категорију.</w:t>
            </w:r>
          </w:p>
          <w:p w14:paraId="01F0156C" w14:textId="77777777" w:rsidR="00AF090E" w:rsidRPr="00AF090E" w:rsidRDefault="00AF090E" w:rsidP="00AF090E">
            <w:pPr>
              <w:spacing w:line="276" w:lineRule="auto"/>
              <w:jc w:val="both"/>
              <w:rPr>
                <w:sz w:val="21"/>
                <w:szCs w:val="21"/>
                <w:lang w:val="sr-Cyrl-RS"/>
              </w:rPr>
            </w:pPr>
          </w:p>
          <w:p w14:paraId="762EF14B" w14:textId="0936987E" w:rsidR="00F7793A" w:rsidRPr="00AF090E" w:rsidRDefault="00AF090E" w:rsidP="00F7793A">
            <w:pPr>
              <w:spacing w:line="276" w:lineRule="auto"/>
              <w:jc w:val="both"/>
              <w:rPr>
                <w:sz w:val="21"/>
                <w:szCs w:val="21"/>
                <w:lang w:val="sr-Latn-RS"/>
              </w:rPr>
            </w:pPr>
            <w:r w:rsidRPr="00AF090E">
              <w:rPr>
                <w:sz w:val="21"/>
                <w:szCs w:val="21"/>
                <w:lang w:val="sr-Cyrl-RS"/>
              </w:rPr>
              <w:lastRenderedPageBreak/>
              <w:t>Ако узмемо у обзир податке из последњег пописа који је рађен 2022. године, по којем је укупан број становника Републике Србије био 6.605.168 становника, број становника који живи у градовима за које постоје подаци о квалитету ваздуха у последњој релевантој години 2023. износио је 4.132.713. Дакле испитивање квалитета ваздуха постоји за свега 63% становништва Републике Србије, док за осталих 37% податак о квалитету ваздуха није познат. Број становника који живи у градовима који спадају у категорију квалитета ваздуха III износи 3.723.684, што представља око 56% становника Републике Србије. С друге стране око 6% становника Републике Србије живи у градовима у којима квалитет ваздуха спада у I категорију.</w:t>
            </w:r>
          </w:p>
        </w:tc>
      </w:tr>
      <w:tr w:rsidR="00994D04" w:rsidRPr="00EA4101" w14:paraId="4CD88C08" w14:textId="77777777" w:rsidTr="00AF090E">
        <w:trPr>
          <w:trHeight w:val="275"/>
        </w:trPr>
        <w:tc>
          <w:tcPr>
            <w:tcW w:w="201" w:type="pct"/>
            <w:vMerge/>
            <w:tcBorders>
              <w:left w:val="single" w:sz="4" w:space="0" w:color="auto"/>
              <w:right w:val="single" w:sz="4" w:space="0" w:color="auto"/>
            </w:tcBorders>
          </w:tcPr>
          <w:p w14:paraId="4B3E8C7E" w14:textId="77777777" w:rsidR="00C27122" w:rsidRPr="00EA4101" w:rsidRDefault="00C27122" w:rsidP="0094641A">
            <w:pPr>
              <w:numPr>
                <w:ilvl w:val="0"/>
                <w:numId w:val="1"/>
              </w:numPr>
              <w:spacing w:line="276" w:lineRule="auto"/>
              <w:jc w:val="center"/>
              <w:rPr>
                <w:sz w:val="21"/>
                <w:szCs w:val="21"/>
                <w:lang w:val="sr-Cyrl-RS"/>
              </w:rPr>
            </w:pPr>
          </w:p>
        </w:tc>
        <w:tc>
          <w:tcPr>
            <w:tcW w:w="509" w:type="pct"/>
            <w:vMerge/>
            <w:tcBorders>
              <w:left w:val="single" w:sz="4" w:space="0" w:color="auto"/>
              <w:right w:val="single" w:sz="4" w:space="0" w:color="auto"/>
            </w:tcBorders>
          </w:tcPr>
          <w:p w14:paraId="39A0A088" w14:textId="77777777" w:rsidR="00C27122" w:rsidRPr="00EA4101" w:rsidRDefault="00C27122">
            <w:pPr>
              <w:spacing w:line="276" w:lineRule="auto"/>
              <w:rPr>
                <w:sz w:val="21"/>
                <w:szCs w:val="21"/>
                <w:lang w:val="sr-Cyrl-RS"/>
              </w:rPr>
            </w:pPr>
          </w:p>
        </w:tc>
        <w:tc>
          <w:tcPr>
            <w:tcW w:w="559" w:type="pct"/>
            <w:tcBorders>
              <w:left w:val="single" w:sz="4" w:space="0" w:color="auto"/>
              <w:right w:val="single" w:sz="4" w:space="0" w:color="auto"/>
            </w:tcBorders>
          </w:tcPr>
          <w:p w14:paraId="623B5B52" w14:textId="77777777" w:rsidR="00C27122" w:rsidRPr="00EA4101" w:rsidRDefault="00E00C40">
            <w:pPr>
              <w:spacing w:line="276" w:lineRule="auto"/>
              <w:rPr>
                <w:sz w:val="21"/>
                <w:szCs w:val="21"/>
                <w:lang w:val="sr-Cyrl-RS"/>
              </w:rPr>
            </w:pPr>
            <w:r w:rsidRPr="00EA4101">
              <w:rPr>
                <w:sz w:val="21"/>
                <w:szCs w:val="21"/>
                <w:lang w:val="sr-Cyrl-RS"/>
              </w:rPr>
              <w:t>Није дефинисано</w:t>
            </w:r>
          </w:p>
        </w:tc>
        <w:tc>
          <w:tcPr>
            <w:tcW w:w="1473" w:type="pct"/>
            <w:tcBorders>
              <w:top w:val="single" w:sz="4" w:space="0" w:color="auto"/>
              <w:left w:val="single" w:sz="4" w:space="0" w:color="auto"/>
              <w:bottom w:val="single" w:sz="4" w:space="0" w:color="auto"/>
              <w:right w:val="single" w:sz="4" w:space="0" w:color="auto"/>
            </w:tcBorders>
          </w:tcPr>
          <w:p w14:paraId="1DE2F22D" w14:textId="77777777" w:rsidR="00C27122" w:rsidRPr="00EA4101" w:rsidRDefault="00E00C40">
            <w:pPr>
              <w:pStyle w:val="NoSpacing"/>
              <w:rPr>
                <w:rFonts w:ascii="Times New Roman" w:hAnsi="Times New Roman" w:cs="Times New Roman"/>
                <w:b/>
                <w:bCs/>
                <w:sz w:val="21"/>
                <w:szCs w:val="21"/>
                <w:lang w:val="sr-Cyrl-RS"/>
              </w:rPr>
            </w:pPr>
            <w:r w:rsidRPr="00EA4101">
              <w:rPr>
                <w:rFonts w:ascii="Times New Roman" w:hAnsi="Times New Roman" w:cs="Times New Roman"/>
                <w:b/>
                <w:bCs/>
                <w:sz w:val="21"/>
                <w:szCs w:val="21"/>
                <w:lang w:val="sr-Cyrl-RS"/>
              </w:rPr>
              <w:t>7.</w:t>
            </w:r>
            <w:r w:rsidRPr="00EA4101">
              <w:rPr>
                <w:rFonts w:ascii="Times New Roman" w:hAnsi="Times New Roman" w:cs="Times New Roman"/>
                <w:b/>
                <w:bCs/>
                <w:sz w:val="21"/>
                <w:szCs w:val="21"/>
                <w:lang w:val="sr-Latn-RS"/>
              </w:rPr>
              <w:t xml:space="preserve"> </w:t>
            </w:r>
            <w:r w:rsidRPr="00EA4101">
              <w:rPr>
                <w:rFonts w:ascii="Times New Roman" w:hAnsi="Times New Roman" w:cs="Times New Roman"/>
                <w:b/>
                <w:bCs/>
                <w:sz w:val="21"/>
                <w:szCs w:val="21"/>
                <w:lang w:val="sr-Cyrl-RS"/>
              </w:rPr>
              <w:t>Коментар</w:t>
            </w:r>
            <w:r w:rsidRPr="00EA4101">
              <w:rPr>
                <w:rFonts w:ascii="Times New Roman" w:hAnsi="Times New Roman" w:cs="Times New Roman"/>
                <w:b/>
                <w:bCs/>
                <w:sz w:val="21"/>
                <w:szCs w:val="21"/>
                <w:lang w:val="sr-Latn-RS"/>
              </w:rPr>
              <w:t>:</w:t>
            </w:r>
          </w:p>
          <w:p w14:paraId="6FCE63BB" w14:textId="77777777" w:rsidR="00C27122" w:rsidRPr="00EA4101" w:rsidRDefault="00E00C40">
            <w:pPr>
              <w:pStyle w:val="NoSpacing"/>
              <w:rPr>
                <w:rFonts w:ascii="Times New Roman" w:hAnsi="Times New Roman" w:cs="Times New Roman"/>
                <w:b/>
                <w:bCs/>
                <w:sz w:val="21"/>
                <w:szCs w:val="21"/>
                <w:lang w:val="sr-Cyrl-RS"/>
              </w:rPr>
            </w:pPr>
            <w:r w:rsidRPr="00EA4101">
              <w:rPr>
                <w:rFonts w:ascii="Times New Roman" w:hAnsi="Times New Roman" w:cs="Times New Roman"/>
                <w:b/>
                <w:bCs/>
                <w:sz w:val="21"/>
                <w:szCs w:val="21"/>
                <w:lang w:val="sr-Cyrl-RS"/>
              </w:rPr>
              <w:t xml:space="preserve">1.2.4. </w:t>
            </w:r>
            <w:r w:rsidRPr="00EA4101">
              <w:rPr>
                <w:rFonts w:ascii="Times New Roman" w:hAnsi="Times New Roman" w:cs="Times New Roman"/>
                <w:b/>
                <w:bCs/>
                <w:sz w:val="21"/>
                <w:szCs w:val="21"/>
                <w:lang w:val="sr-Cyrl-RS"/>
              </w:rPr>
              <w:tab/>
              <w:t>Квалитет животне средине и фактори утицаја</w:t>
            </w:r>
          </w:p>
          <w:p w14:paraId="5BD50274" w14:textId="77777777" w:rsidR="00C27122" w:rsidRPr="00EA4101" w:rsidRDefault="00E00C40">
            <w:pPr>
              <w:pStyle w:val="NoSpacing"/>
              <w:rPr>
                <w:rFonts w:ascii="Times New Roman" w:hAnsi="Times New Roman" w:cs="Times New Roman"/>
                <w:sz w:val="21"/>
                <w:szCs w:val="21"/>
                <w:lang w:val="sr-Cyrl-RS"/>
              </w:rPr>
            </w:pPr>
            <w:r w:rsidRPr="00EA4101">
              <w:rPr>
                <w:rFonts w:ascii="Times New Roman" w:hAnsi="Times New Roman" w:cs="Times New Roman"/>
                <w:sz w:val="21"/>
                <w:szCs w:val="21"/>
                <w:lang w:val="sr-Cyrl-RS"/>
              </w:rPr>
              <w:t>1.2.4.8 Животна средина и здравље</w:t>
            </w:r>
          </w:p>
          <w:p w14:paraId="1A2B316F" w14:textId="250A538B" w:rsidR="00C27122" w:rsidRPr="00EA4101" w:rsidRDefault="00E00C40" w:rsidP="001A560D">
            <w:pPr>
              <w:pStyle w:val="NoSpacing"/>
              <w:rPr>
                <w:rFonts w:ascii="Times New Roman" w:hAnsi="Times New Roman" w:cs="Times New Roman"/>
                <w:sz w:val="21"/>
                <w:szCs w:val="21"/>
                <w:lang w:val="sr-Cyrl-RS"/>
              </w:rPr>
            </w:pPr>
            <w:r w:rsidRPr="00EA4101">
              <w:rPr>
                <w:rFonts w:ascii="Times New Roman" w:hAnsi="Times New Roman" w:cs="Times New Roman"/>
                <w:sz w:val="21"/>
                <w:szCs w:val="21"/>
                <w:lang w:val="sr-Cyrl-RS"/>
              </w:rPr>
              <w:t xml:space="preserve">Поглавље о животној средини и здрављу, које је од суштинског значаја, не задовољава ни минималне захтеве стратешке процене утицаја на животну средину. </w:t>
            </w:r>
          </w:p>
        </w:tc>
        <w:tc>
          <w:tcPr>
            <w:tcW w:w="2258" w:type="pct"/>
            <w:tcBorders>
              <w:left w:val="single" w:sz="4" w:space="0" w:color="auto"/>
              <w:right w:val="single" w:sz="4" w:space="0" w:color="auto"/>
            </w:tcBorders>
          </w:tcPr>
          <w:p w14:paraId="4D7BC848" w14:textId="77777777" w:rsidR="008C7EFB" w:rsidRDefault="001A560D">
            <w:pPr>
              <w:spacing w:line="276" w:lineRule="auto"/>
              <w:jc w:val="both"/>
              <w:rPr>
                <w:b/>
                <w:bCs/>
                <w:sz w:val="21"/>
                <w:szCs w:val="21"/>
                <w:lang w:val="sr-Cyrl-RS"/>
              </w:rPr>
            </w:pPr>
            <w:r w:rsidRPr="00EA4101">
              <w:rPr>
                <w:b/>
                <w:bCs/>
                <w:sz w:val="21"/>
                <w:szCs w:val="21"/>
                <w:lang w:val="sr-Cyrl-RS"/>
              </w:rPr>
              <w:t xml:space="preserve">Прихвата се коментар </w:t>
            </w:r>
          </w:p>
          <w:p w14:paraId="68544A77" w14:textId="77777777" w:rsidR="008C7EFB" w:rsidRDefault="008C7EFB">
            <w:pPr>
              <w:spacing w:line="276" w:lineRule="auto"/>
              <w:jc w:val="both"/>
              <w:rPr>
                <w:b/>
                <w:bCs/>
                <w:sz w:val="21"/>
                <w:szCs w:val="21"/>
                <w:highlight w:val="cyan"/>
                <w:lang w:val="sr-Cyrl-RS"/>
              </w:rPr>
            </w:pPr>
          </w:p>
          <w:p w14:paraId="03933935" w14:textId="60C7A103" w:rsidR="00F7793A" w:rsidRPr="00AF090E" w:rsidRDefault="008C7EFB">
            <w:pPr>
              <w:spacing w:line="276" w:lineRule="auto"/>
              <w:jc w:val="both"/>
              <w:rPr>
                <w:sz w:val="21"/>
                <w:szCs w:val="21"/>
                <w:lang w:val="sr-Latn-RS"/>
              </w:rPr>
            </w:pPr>
            <w:r w:rsidRPr="008C7EFB">
              <w:rPr>
                <w:sz w:val="21"/>
                <w:szCs w:val="21"/>
                <w:lang w:val="sr-Cyrl-RS"/>
              </w:rPr>
              <w:t>Поглавље 1.2.4.8 Животна средина и здравље на странама од 4</w:t>
            </w:r>
            <w:r w:rsidR="00D701A2">
              <w:rPr>
                <w:sz w:val="21"/>
                <w:szCs w:val="21"/>
                <w:lang w:val="sr-Latn-RS"/>
              </w:rPr>
              <w:t>4</w:t>
            </w:r>
            <w:r w:rsidRPr="008C7EFB">
              <w:rPr>
                <w:sz w:val="21"/>
                <w:szCs w:val="21"/>
                <w:lang w:val="sr-Cyrl-RS"/>
              </w:rPr>
              <w:t xml:space="preserve"> до 4</w:t>
            </w:r>
            <w:r w:rsidR="00D701A2">
              <w:rPr>
                <w:sz w:val="21"/>
                <w:szCs w:val="21"/>
                <w:lang w:val="sr-Latn-RS"/>
              </w:rPr>
              <w:t>7</w:t>
            </w:r>
            <w:r w:rsidRPr="008C7EFB">
              <w:rPr>
                <w:sz w:val="21"/>
                <w:szCs w:val="21"/>
                <w:lang w:val="sr-Cyrl-RS"/>
              </w:rPr>
              <w:t xml:space="preserve"> је исправљено у складу са коментаром</w:t>
            </w:r>
            <w:r w:rsidR="00AF090E">
              <w:rPr>
                <w:sz w:val="21"/>
                <w:szCs w:val="21"/>
                <w:lang w:val="sr-Latn-RS"/>
              </w:rPr>
              <w:t>:</w:t>
            </w:r>
          </w:p>
          <w:p w14:paraId="667DA185" w14:textId="66168699" w:rsidR="00AF090E" w:rsidRPr="00AF090E" w:rsidRDefault="00AF090E" w:rsidP="00AF090E">
            <w:pPr>
              <w:spacing w:line="276" w:lineRule="auto"/>
              <w:jc w:val="both"/>
              <w:rPr>
                <w:sz w:val="21"/>
                <w:szCs w:val="21"/>
                <w:lang w:val="sr-Latn-RS"/>
              </w:rPr>
            </w:pPr>
            <w:r w:rsidRPr="00AF090E">
              <w:rPr>
                <w:sz w:val="21"/>
                <w:szCs w:val="21"/>
                <w:lang w:val="sr-Cyrl-RS"/>
              </w:rPr>
              <w:t xml:space="preserve">У последњем попису становништва који је извршен 2022. године, у Републици Србији се води статистика о броју лица која су пријавила хроничне болести. Према истом чак 29,6% становника је пријавило проблем са хипертензијом - повишеним крвним притиском, 8,9% становника коронарну болест срца или ангина пекторис, 3,6 % становништва је пријавило хроничну болест астме, 3,5% становника је пријавило хронични бронхитис, односно обструктивну болест плућа или емфизем. Проценат становника са хроничним инфрактом миокарда износи 1,8%, док је проценат оних са можданим ударом </w:t>
            </w:r>
            <w:r w:rsidRPr="00AF090E">
              <w:rPr>
                <w:sz w:val="21"/>
                <w:szCs w:val="21"/>
                <w:lang w:val="sr-Cyrl-RS"/>
              </w:rPr>
              <w:lastRenderedPageBreak/>
              <w:t>био 1,2. Несумњиво да постоји повезаност између загађења ваздуха и хроничних здравствених болести, те да болести могу да варирају од поремећаја респираторних органа, преко отежаног дисања, до озбиљних кардиоваскуларних проблема.</w:t>
            </w:r>
          </w:p>
          <w:p w14:paraId="06141E3C" w14:textId="5543B289" w:rsidR="00C27122" w:rsidRPr="00EA4101" w:rsidRDefault="00C27122" w:rsidP="008C7EFB">
            <w:pPr>
              <w:spacing w:line="276" w:lineRule="auto"/>
              <w:jc w:val="both"/>
              <w:rPr>
                <w:b/>
                <w:bCs/>
                <w:sz w:val="21"/>
                <w:szCs w:val="21"/>
                <w:lang w:val="sr-Cyrl-RS"/>
              </w:rPr>
            </w:pPr>
          </w:p>
        </w:tc>
      </w:tr>
      <w:tr w:rsidR="00994D04" w:rsidRPr="00EA4101" w14:paraId="691816E9" w14:textId="77777777" w:rsidTr="00AF090E">
        <w:trPr>
          <w:trHeight w:val="275"/>
        </w:trPr>
        <w:tc>
          <w:tcPr>
            <w:tcW w:w="201" w:type="pct"/>
            <w:vMerge/>
            <w:tcBorders>
              <w:left w:val="single" w:sz="4" w:space="0" w:color="auto"/>
              <w:right w:val="single" w:sz="4" w:space="0" w:color="auto"/>
            </w:tcBorders>
          </w:tcPr>
          <w:p w14:paraId="2A80FD81" w14:textId="77777777" w:rsidR="00C27122" w:rsidRPr="00EA4101" w:rsidRDefault="00C27122" w:rsidP="0094641A">
            <w:pPr>
              <w:numPr>
                <w:ilvl w:val="0"/>
                <w:numId w:val="1"/>
              </w:numPr>
              <w:spacing w:line="276" w:lineRule="auto"/>
              <w:jc w:val="center"/>
              <w:rPr>
                <w:sz w:val="21"/>
                <w:szCs w:val="21"/>
                <w:lang w:val="sr-Cyrl-RS"/>
              </w:rPr>
            </w:pPr>
          </w:p>
        </w:tc>
        <w:tc>
          <w:tcPr>
            <w:tcW w:w="509" w:type="pct"/>
            <w:vMerge/>
            <w:tcBorders>
              <w:left w:val="single" w:sz="4" w:space="0" w:color="auto"/>
              <w:right w:val="single" w:sz="4" w:space="0" w:color="auto"/>
            </w:tcBorders>
          </w:tcPr>
          <w:p w14:paraId="3189F53D" w14:textId="77777777" w:rsidR="00C27122" w:rsidRPr="00EA4101" w:rsidRDefault="00C27122">
            <w:pPr>
              <w:spacing w:line="276" w:lineRule="auto"/>
              <w:rPr>
                <w:sz w:val="21"/>
                <w:szCs w:val="21"/>
                <w:lang w:val="sr-Cyrl-RS"/>
              </w:rPr>
            </w:pPr>
          </w:p>
        </w:tc>
        <w:tc>
          <w:tcPr>
            <w:tcW w:w="559" w:type="pct"/>
            <w:tcBorders>
              <w:left w:val="single" w:sz="4" w:space="0" w:color="auto"/>
              <w:right w:val="single" w:sz="4" w:space="0" w:color="auto"/>
            </w:tcBorders>
          </w:tcPr>
          <w:p w14:paraId="1491E18E" w14:textId="77777777" w:rsidR="00C27122" w:rsidRPr="00EA4101" w:rsidRDefault="00E00C40">
            <w:pPr>
              <w:spacing w:line="276" w:lineRule="auto"/>
              <w:rPr>
                <w:sz w:val="21"/>
                <w:szCs w:val="21"/>
                <w:lang w:val="sr-Cyrl-RS"/>
              </w:rPr>
            </w:pPr>
            <w:r w:rsidRPr="00EA4101">
              <w:rPr>
                <w:sz w:val="21"/>
                <w:szCs w:val="21"/>
                <w:lang w:val="sr-Cyrl-RS"/>
              </w:rPr>
              <w:t>Није дефинисано</w:t>
            </w:r>
          </w:p>
        </w:tc>
        <w:tc>
          <w:tcPr>
            <w:tcW w:w="1473" w:type="pct"/>
            <w:tcBorders>
              <w:top w:val="single" w:sz="4" w:space="0" w:color="auto"/>
              <w:left w:val="single" w:sz="4" w:space="0" w:color="auto"/>
              <w:bottom w:val="single" w:sz="4" w:space="0" w:color="auto"/>
              <w:right w:val="single" w:sz="4" w:space="0" w:color="auto"/>
            </w:tcBorders>
          </w:tcPr>
          <w:p w14:paraId="2FC52606" w14:textId="77777777" w:rsidR="00C27122" w:rsidRPr="00EA4101" w:rsidRDefault="00E00C40">
            <w:pPr>
              <w:pStyle w:val="NoSpacing"/>
              <w:jc w:val="both"/>
              <w:rPr>
                <w:rFonts w:ascii="Times New Roman" w:hAnsi="Times New Roman" w:cs="Times New Roman"/>
                <w:b/>
                <w:bCs/>
                <w:sz w:val="21"/>
                <w:szCs w:val="21"/>
                <w:lang w:val="sr-Cyrl-RS"/>
              </w:rPr>
            </w:pPr>
            <w:r w:rsidRPr="00EA4101">
              <w:rPr>
                <w:rFonts w:ascii="Times New Roman" w:hAnsi="Times New Roman" w:cs="Times New Roman"/>
                <w:b/>
                <w:bCs/>
                <w:sz w:val="21"/>
                <w:szCs w:val="21"/>
                <w:lang w:val="sr-Cyrl-RS"/>
              </w:rPr>
              <w:t>8.</w:t>
            </w:r>
            <w:r w:rsidRPr="00EA4101">
              <w:rPr>
                <w:rFonts w:ascii="Times New Roman" w:hAnsi="Times New Roman" w:cs="Times New Roman"/>
                <w:b/>
                <w:bCs/>
                <w:sz w:val="21"/>
                <w:szCs w:val="21"/>
                <w:lang w:val="sr-Latn-RS"/>
              </w:rPr>
              <w:t xml:space="preserve"> </w:t>
            </w:r>
            <w:r w:rsidRPr="00EA4101">
              <w:rPr>
                <w:rFonts w:ascii="Times New Roman" w:hAnsi="Times New Roman" w:cs="Times New Roman"/>
                <w:b/>
                <w:bCs/>
                <w:sz w:val="21"/>
                <w:szCs w:val="21"/>
                <w:lang w:val="sr-Cyrl-RS"/>
              </w:rPr>
              <w:t>Коментар</w:t>
            </w:r>
            <w:r w:rsidRPr="00EA4101">
              <w:rPr>
                <w:rFonts w:ascii="Times New Roman" w:hAnsi="Times New Roman" w:cs="Times New Roman"/>
                <w:b/>
                <w:bCs/>
                <w:sz w:val="21"/>
                <w:szCs w:val="21"/>
                <w:lang w:val="sr-Latn-RS"/>
              </w:rPr>
              <w:t>:</w:t>
            </w:r>
          </w:p>
          <w:p w14:paraId="15A99777" w14:textId="77777777" w:rsidR="00C27122" w:rsidRPr="00EA4101" w:rsidRDefault="00E00C40" w:rsidP="001A560D">
            <w:pPr>
              <w:pStyle w:val="NoSpacing"/>
              <w:jc w:val="both"/>
              <w:rPr>
                <w:rFonts w:ascii="Times New Roman" w:hAnsi="Times New Roman" w:cs="Times New Roman"/>
                <w:b/>
                <w:bCs/>
                <w:sz w:val="21"/>
                <w:szCs w:val="21"/>
                <w:lang w:val="sr-Cyrl-RS"/>
              </w:rPr>
            </w:pPr>
            <w:r w:rsidRPr="00EA4101">
              <w:rPr>
                <w:rFonts w:ascii="Times New Roman" w:hAnsi="Times New Roman" w:cs="Times New Roman"/>
                <w:b/>
                <w:bCs/>
                <w:sz w:val="21"/>
                <w:szCs w:val="21"/>
                <w:lang w:val="sr-Cyrl-RS"/>
              </w:rPr>
              <w:t>1.6. Претходне консултације са заинтересованим странама и организацијама</w:t>
            </w:r>
          </w:p>
          <w:p w14:paraId="3B86C77F" w14:textId="5CAD98D9" w:rsidR="00C27122" w:rsidRPr="00EA4101" w:rsidRDefault="00E00C40">
            <w:pPr>
              <w:pStyle w:val="NoSpacing"/>
              <w:jc w:val="both"/>
              <w:rPr>
                <w:rFonts w:ascii="Times New Roman" w:hAnsi="Times New Roman" w:cs="Times New Roman"/>
                <w:sz w:val="21"/>
                <w:szCs w:val="21"/>
                <w:lang w:val="sr-Cyrl-RS"/>
              </w:rPr>
            </w:pPr>
            <w:r w:rsidRPr="00EA4101">
              <w:rPr>
                <w:rFonts w:ascii="Times New Roman" w:hAnsi="Times New Roman" w:cs="Times New Roman"/>
                <w:sz w:val="21"/>
                <w:szCs w:val="21"/>
                <w:lang w:val="sr-Cyrl-RS"/>
              </w:rPr>
              <w:t xml:space="preserve">Није познато да је Израђивач Извештаја о СПУ обавио претходне консултације са заинтересованим страна и организацијама. Из самог текста Нацрта Извештаја о СПУ не може се закључити на који начин су организоване консултације, ко је у њима учествовао, који су исходи тих консултација и на који начин су исходи консултација узети у обзир.  Осим тога, на основу података који се наводе у самом Извештају о СПУ може се једноставно закључити да претходне консултације није ни било могуће спровести, те да нису ни спроведене. Како Израђивач Извештаја о СПУ није спровео претходне консултације то није ни могао да испуни захтеве у погледу садржаја Извештаја, јер је чл. 13. ст. 1, тачка 6. предвиђено да Полазне основе Извештаја о СПУ „обухватају </w:t>
            </w:r>
            <w:r w:rsidRPr="00EA4101">
              <w:rPr>
                <w:rFonts w:ascii="Times New Roman" w:hAnsi="Times New Roman" w:cs="Times New Roman"/>
                <w:sz w:val="21"/>
                <w:szCs w:val="21"/>
                <w:lang w:val="sr-Cyrl-RS"/>
              </w:rPr>
              <w:lastRenderedPageBreak/>
              <w:t xml:space="preserve">резултате претходних консултација са заинтересованим органима и организацијама битне са становишта циљева и процене могућих утицаја стратешке процене.“  </w:t>
            </w:r>
          </w:p>
        </w:tc>
        <w:tc>
          <w:tcPr>
            <w:tcW w:w="2258" w:type="pct"/>
            <w:tcBorders>
              <w:left w:val="single" w:sz="4" w:space="0" w:color="auto"/>
              <w:right w:val="single" w:sz="4" w:space="0" w:color="auto"/>
            </w:tcBorders>
          </w:tcPr>
          <w:p w14:paraId="5D484073" w14:textId="77777777" w:rsidR="00AF090E" w:rsidRPr="00AF090E" w:rsidRDefault="00AF090E" w:rsidP="00AF090E">
            <w:pPr>
              <w:spacing w:line="276" w:lineRule="auto"/>
              <w:jc w:val="both"/>
              <w:rPr>
                <w:b/>
                <w:bCs/>
                <w:sz w:val="21"/>
                <w:szCs w:val="21"/>
                <w:lang w:val="sr-Cyrl-RS"/>
              </w:rPr>
            </w:pPr>
            <w:r w:rsidRPr="00AF090E">
              <w:rPr>
                <w:b/>
                <w:bCs/>
                <w:sz w:val="21"/>
                <w:szCs w:val="21"/>
                <w:lang w:val="sr-Cyrl-RS"/>
              </w:rPr>
              <w:lastRenderedPageBreak/>
              <w:t xml:space="preserve">Делимично се прихвата </w:t>
            </w:r>
          </w:p>
          <w:p w14:paraId="37DD601B" w14:textId="77777777" w:rsidR="00AF090E" w:rsidRPr="00AF090E" w:rsidRDefault="00AF090E" w:rsidP="00AF090E">
            <w:pPr>
              <w:spacing w:line="276" w:lineRule="auto"/>
              <w:jc w:val="both"/>
              <w:rPr>
                <w:sz w:val="21"/>
                <w:szCs w:val="21"/>
                <w:lang w:val="sr-Cyrl-RS"/>
              </w:rPr>
            </w:pPr>
          </w:p>
          <w:p w14:paraId="42BCCDF7" w14:textId="77777777" w:rsidR="00AF090E" w:rsidRPr="00AF090E" w:rsidRDefault="00AF090E" w:rsidP="00AF090E">
            <w:pPr>
              <w:spacing w:line="276" w:lineRule="auto"/>
              <w:jc w:val="both"/>
              <w:rPr>
                <w:sz w:val="21"/>
                <w:szCs w:val="21"/>
                <w:lang w:val="sr-Cyrl-RS"/>
              </w:rPr>
            </w:pPr>
            <w:r w:rsidRPr="00AF090E">
              <w:rPr>
                <w:sz w:val="21"/>
                <w:szCs w:val="21"/>
                <w:lang w:val="sr-Cyrl-RS"/>
              </w:rPr>
              <w:t>Додат је нови део текста:</w:t>
            </w:r>
          </w:p>
          <w:p w14:paraId="6036549F" w14:textId="77777777" w:rsidR="00AF090E" w:rsidRPr="00AF090E" w:rsidRDefault="00AF090E" w:rsidP="00AF090E">
            <w:pPr>
              <w:spacing w:line="276" w:lineRule="auto"/>
              <w:jc w:val="both"/>
              <w:rPr>
                <w:sz w:val="21"/>
                <w:szCs w:val="21"/>
                <w:lang w:val="sr-Cyrl-RS"/>
              </w:rPr>
            </w:pPr>
            <w:r w:rsidRPr="00AF090E">
              <w:rPr>
                <w:sz w:val="21"/>
                <w:szCs w:val="21"/>
                <w:lang w:val="sr-Cyrl-RS"/>
              </w:rPr>
              <w:t>Текст Нацрта Извештаја о стратешкој процени утицаја на животну средину Стратегије заштите животне средине са Акционим планом на животну средину је у периоду од 3. септембра до 3. октобра 2024. године био објављен на интернет страници Министарства заштите животне средине, на Порталу „еКонсултације“. Ово објављивање је представљало ране јавне консултације, у периоду од месец дана, у којим су сва заинтересована лица и организације имале прилику да примедбе, предлоге, сугестије и коментаре доставе, како електронским, тако и путем поште. Током раних јавних консултација, пристигло је 10 коментара на Нацрт Извештаја о стратешкој процени предметне стратегије, од којих је 4 усвојено или делимично усвојено, а одбојено је 6 коментара. Већина предлога, коментара и сугестија је било конструктивно и конкретно у смислу побољшања квалитета текста самог документа.</w:t>
            </w:r>
          </w:p>
          <w:p w14:paraId="1F593413" w14:textId="77777777" w:rsidR="00AF090E" w:rsidRPr="00AF090E" w:rsidRDefault="00AF090E" w:rsidP="00AF090E">
            <w:pPr>
              <w:spacing w:line="276" w:lineRule="auto"/>
              <w:jc w:val="both"/>
              <w:rPr>
                <w:sz w:val="21"/>
                <w:szCs w:val="21"/>
                <w:lang w:val="sr-Cyrl-RS"/>
              </w:rPr>
            </w:pPr>
            <w:r w:rsidRPr="00AF090E">
              <w:rPr>
                <w:sz w:val="21"/>
                <w:szCs w:val="21"/>
                <w:lang w:val="sr-Cyrl-RS"/>
              </w:rPr>
              <w:t xml:space="preserve">Након спровођења раних јавних консултација, спроведено је и јавно представљање Извештаја о стратешкој процени утицаја, које је организовано уједно са представљањем Предлога стратегије </w:t>
            </w:r>
            <w:r w:rsidRPr="00AF090E">
              <w:rPr>
                <w:sz w:val="21"/>
                <w:szCs w:val="21"/>
                <w:lang w:val="sr-Cyrl-RS"/>
              </w:rPr>
              <w:lastRenderedPageBreak/>
              <w:t>заштите животне средине, у виду презентације и консултација, дана 4. децембра 2024. године, у хибридном формату, у простроријама „Envoy Conference Center“, у Београду.</w:t>
            </w:r>
          </w:p>
          <w:p w14:paraId="3C2F8E5A" w14:textId="77777777" w:rsidR="00AF090E" w:rsidRPr="00AF090E" w:rsidRDefault="00AF090E" w:rsidP="00AF090E">
            <w:pPr>
              <w:spacing w:line="276" w:lineRule="auto"/>
              <w:jc w:val="both"/>
              <w:rPr>
                <w:sz w:val="21"/>
                <w:szCs w:val="21"/>
                <w:lang w:val="sr-Cyrl-RS"/>
              </w:rPr>
            </w:pPr>
            <w:r w:rsidRPr="00AF090E">
              <w:rPr>
                <w:sz w:val="21"/>
                <w:szCs w:val="21"/>
                <w:lang w:val="sr-Cyrl-RS"/>
              </w:rPr>
              <w:t xml:space="preserve">Коначно, по окончању јавног представљања, започела је и јавна расправа Предлога стратегије заштите животне средине са Акционим планом и пратећег Извештаја о стратешкој процени утицаја на животну средину, која се спроводила у периоду од 4. децембра до 24. децембра 2024. године. </w:t>
            </w:r>
          </w:p>
          <w:p w14:paraId="4DD9171B" w14:textId="0774D72F" w:rsidR="00C27122" w:rsidRPr="00AF090E" w:rsidRDefault="00AF090E" w:rsidP="00AF090E">
            <w:pPr>
              <w:spacing w:line="276" w:lineRule="auto"/>
              <w:jc w:val="both"/>
              <w:rPr>
                <w:sz w:val="21"/>
                <w:szCs w:val="21"/>
                <w:lang w:val="sr-Cyrl-RS"/>
              </w:rPr>
            </w:pPr>
            <w:r w:rsidRPr="00AF090E">
              <w:rPr>
                <w:sz w:val="21"/>
                <w:szCs w:val="21"/>
                <w:lang w:val="sr-Cyrl-RS"/>
              </w:rPr>
              <w:t>Током јавне расправе, пристигло је 11 коментара на Нацрт Извештаја о стратешкој процени предметне стратегије, од којих је 9 усвојено или делимично усвојено, а одбијено свега два коментара. Већина предлога, коментара и сугестија је било конструктивно и конкретно у смислу побољшања квалитета текста самог документа.</w:t>
            </w:r>
          </w:p>
        </w:tc>
      </w:tr>
      <w:tr w:rsidR="00994D04" w:rsidRPr="00EA4101" w14:paraId="1162F0D8" w14:textId="77777777" w:rsidTr="00AF090E">
        <w:trPr>
          <w:trHeight w:val="275"/>
        </w:trPr>
        <w:tc>
          <w:tcPr>
            <w:tcW w:w="201" w:type="pct"/>
            <w:vMerge/>
            <w:tcBorders>
              <w:left w:val="single" w:sz="4" w:space="0" w:color="auto"/>
              <w:right w:val="single" w:sz="4" w:space="0" w:color="auto"/>
            </w:tcBorders>
          </w:tcPr>
          <w:p w14:paraId="5C33DDAE" w14:textId="77777777" w:rsidR="00C27122" w:rsidRPr="00EA4101" w:rsidRDefault="00C27122" w:rsidP="0094641A">
            <w:pPr>
              <w:numPr>
                <w:ilvl w:val="0"/>
                <w:numId w:val="1"/>
              </w:numPr>
              <w:spacing w:line="276" w:lineRule="auto"/>
              <w:jc w:val="center"/>
              <w:rPr>
                <w:sz w:val="21"/>
                <w:szCs w:val="21"/>
                <w:lang w:val="sr-Cyrl-RS"/>
              </w:rPr>
            </w:pPr>
          </w:p>
        </w:tc>
        <w:tc>
          <w:tcPr>
            <w:tcW w:w="509" w:type="pct"/>
            <w:vMerge/>
            <w:tcBorders>
              <w:left w:val="single" w:sz="4" w:space="0" w:color="auto"/>
              <w:right w:val="single" w:sz="4" w:space="0" w:color="auto"/>
            </w:tcBorders>
          </w:tcPr>
          <w:p w14:paraId="4CCC51C6" w14:textId="77777777" w:rsidR="00C27122" w:rsidRPr="00EA4101" w:rsidRDefault="00C27122">
            <w:pPr>
              <w:spacing w:line="276" w:lineRule="auto"/>
              <w:rPr>
                <w:sz w:val="21"/>
                <w:szCs w:val="21"/>
                <w:lang w:val="sr-Cyrl-RS"/>
              </w:rPr>
            </w:pPr>
          </w:p>
        </w:tc>
        <w:tc>
          <w:tcPr>
            <w:tcW w:w="559" w:type="pct"/>
            <w:tcBorders>
              <w:left w:val="single" w:sz="4" w:space="0" w:color="auto"/>
              <w:right w:val="single" w:sz="4" w:space="0" w:color="auto"/>
            </w:tcBorders>
          </w:tcPr>
          <w:p w14:paraId="5569F28B" w14:textId="77777777" w:rsidR="00C27122" w:rsidRPr="00EA4101" w:rsidRDefault="00E00C40">
            <w:pPr>
              <w:spacing w:line="276" w:lineRule="auto"/>
              <w:rPr>
                <w:sz w:val="21"/>
                <w:szCs w:val="21"/>
                <w:lang w:val="sr-Cyrl-RS"/>
              </w:rPr>
            </w:pPr>
            <w:r w:rsidRPr="00EA4101">
              <w:rPr>
                <w:sz w:val="21"/>
                <w:szCs w:val="21"/>
                <w:lang w:val="sr-Cyrl-RS"/>
              </w:rPr>
              <w:t>Није дефинисано</w:t>
            </w:r>
          </w:p>
        </w:tc>
        <w:tc>
          <w:tcPr>
            <w:tcW w:w="1473" w:type="pct"/>
            <w:tcBorders>
              <w:top w:val="single" w:sz="4" w:space="0" w:color="auto"/>
              <w:left w:val="single" w:sz="4" w:space="0" w:color="auto"/>
              <w:bottom w:val="single" w:sz="4" w:space="0" w:color="auto"/>
              <w:right w:val="single" w:sz="4" w:space="0" w:color="auto"/>
            </w:tcBorders>
          </w:tcPr>
          <w:p w14:paraId="3F4723F2" w14:textId="77777777" w:rsidR="00C27122" w:rsidRPr="00EA4101" w:rsidRDefault="00E00C40">
            <w:pPr>
              <w:pStyle w:val="NoSpacing"/>
              <w:rPr>
                <w:rFonts w:ascii="Times New Roman" w:hAnsi="Times New Roman" w:cs="Times New Roman"/>
                <w:b/>
                <w:bCs/>
                <w:sz w:val="21"/>
                <w:szCs w:val="21"/>
                <w:lang w:val="sr-Cyrl-RS"/>
              </w:rPr>
            </w:pPr>
            <w:r w:rsidRPr="00EA4101">
              <w:rPr>
                <w:rFonts w:ascii="Times New Roman" w:hAnsi="Times New Roman" w:cs="Times New Roman"/>
                <w:b/>
                <w:bCs/>
                <w:sz w:val="21"/>
                <w:szCs w:val="21"/>
                <w:lang w:val="sr-Cyrl-RS"/>
              </w:rPr>
              <w:t>9.</w:t>
            </w:r>
            <w:r w:rsidRPr="00EA4101">
              <w:rPr>
                <w:rFonts w:ascii="Times New Roman" w:hAnsi="Times New Roman" w:cs="Times New Roman"/>
                <w:b/>
                <w:bCs/>
                <w:sz w:val="21"/>
                <w:szCs w:val="21"/>
                <w:lang w:val="sr-Latn-RS"/>
              </w:rPr>
              <w:t xml:space="preserve"> </w:t>
            </w:r>
            <w:r w:rsidRPr="00EA4101">
              <w:rPr>
                <w:rFonts w:ascii="Times New Roman" w:hAnsi="Times New Roman" w:cs="Times New Roman"/>
                <w:b/>
                <w:bCs/>
                <w:sz w:val="21"/>
                <w:szCs w:val="21"/>
                <w:lang w:val="sr-Cyrl-RS"/>
              </w:rPr>
              <w:t>Коментар</w:t>
            </w:r>
            <w:r w:rsidRPr="00EA4101">
              <w:rPr>
                <w:rFonts w:ascii="Times New Roman" w:hAnsi="Times New Roman" w:cs="Times New Roman"/>
                <w:b/>
                <w:bCs/>
                <w:sz w:val="21"/>
                <w:szCs w:val="21"/>
                <w:lang w:val="sr-Latn-RS"/>
              </w:rPr>
              <w:t>:</w:t>
            </w:r>
          </w:p>
          <w:p w14:paraId="3A24D3DE" w14:textId="77777777" w:rsidR="00C27122" w:rsidRPr="00EA4101" w:rsidRDefault="00E00C40">
            <w:pPr>
              <w:pStyle w:val="NoSpacing"/>
              <w:rPr>
                <w:rFonts w:ascii="Times New Roman" w:hAnsi="Times New Roman" w:cs="Times New Roman"/>
                <w:b/>
                <w:bCs/>
                <w:sz w:val="21"/>
                <w:szCs w:val="21"/>
                <w:lang w:val="sr-Cyrl-RS"/>
              </w:rPr>
            </w:pPr>
            <w:r w:rsidRPr="00EA4101">
              <w:rPr>
                <w:rFonts w:ascii="Times New Roman" w:hAnsi="Times New Roman" w:cs="Times New Roman"/>
                <w:b/>
                <w:bCs/>
                <w:sz w:val="21"/>
                <w:szCs w:val="21"/>
                <w:lang w:val="sr-Cyrl-RS"/>
              </w:rPr>
              <w:t>2. ОПШТИ И СПЕЦИФИЧНИ ЦИЉЕВИ СТРАТЕШКЕ ПРОЦЕНЕ УТИЦАЈА НА ЖИВОТНУ СРЕДИНУ И ИЗБОР ИНДИКАТОРА</w:t>
            </w:r>
          </w:p>
          <w:p w14:paraId="75D9F9B4" w14:textId="77777777" w:rsidR="00C27122" w:rsidRPr="00EA4101" w:rsidRDefault="00E00C40">
            <w:pPr>
              <w:spacing w:line="276" w:lineRule="auto"/>
              <w:jc w:val="both"/>
              <w:rPr>
                <w:sz w:val="21"/>
                <w:szCs w:val="21"/>
                <w:lang w:val="sr-Latn-RS"/>
              </w:rPr>
            </w:pPr>
            <w:r w:rsidRPr="00EA4101">
              <w:rPr>
                <w:sz w:val="21"/>
                <w:szCs w:val="21"/>
                <w:lang w:val="sr-Cyrl-RS"/>
              </w:rPr>
              <w:t xml:space="preserve">Као што смо нагласили током јавних консултација општи и специфични циљеви у Извештају о СПУ нису адекватно постављени, односно, нису постављени, описани и разматрани у складу са чл. 14. Закона о стратешкој процени утицаја. Имајући то у виду овај Извештај о СПУ није израђен у складу са законом те није </w:t>
            </w:r>
            <w:r w:rsidRPr="00EA4101">
              <w:rPr>
                <w:sz w:val="21"/>
                <w:szCs w:val="21"/>
                <w:lang w:val="sr-Cyrl-RS"/>
              </w:rPr>
              <w:lastRenderedPageBreak/>
              <w:t xml:space="preserve">могуће дати сагласност на такав извештај. Како циљеви стратешке процене утицаја нису постављени и обрађени у складу са законом то није било могуће ни разматрати варијантна решења и утврдити мере за спречавање и ограничавање негативних односно увећање позитивних утицаја на животну средину. </w:t>
            </w:r>
          </w:p>
          <w:p w14:paraId="5C8AA1A0" w14:textId="77777777" w:rsidR="00C27122" w:rsidRPr="00EA4101" w:rsidRDefault="00C27122">
            <w:pPr>
              <w:spacing w:line="276" w:lineRule="auto"/>
              <w:jc w:val="both"/>
              <w:rPr>
                <w:sz w:val="21"/>
                <w:szCs w:val="21"/>
                <w:lang w:val="sr-Latn-RS"/>
              </w:rPr>
            </w:pPr>
          </w:p>
        </w:tc>
        <w:tc>
          <w:tcPr>
            <w:tcW w:w="2258" w:type="pct"/>
            <w:tcBorders>
              <w:left w:val="single" w:sz="4" w:space="0" w:color="auto"/>
              <w:right w:val="single" w:sz="4" w:space="0" w:color="auto"/>
            </w:tcBorders>
          </w:tcPr>
          <w:p w14:paraId="42C99642" w14:textId="108BC267" w:rsidR="00C27122" w:rsidRPr="00EA4101" w:rsidRDefault="00E00C40">
            <w:pPr>
              <w:spacing w:line="276" w:lineRule="auto"/>
              <w:jc w:val="both"/>
              <w:rPr>
                <w:b/>
                <w:bCs/>
                <w:sz w:val="21"/>
                <w:szCs w:val="21"/>
                <w:lang w:val="sr-Cyrl-RS"/>
              </w:rPr>
            </w:pPr>
            <w:r w:rsidRPr="00EA4101">
              <w:rPr>
                <w:b/>
                <w:bCs/>
                <w:sz w:val="21"/>
                <w:szCs w:val="21"/>
                <w:lang w:val="sr-Cyrl-RS"/>
              </w:rPr>
              <w:lastRenderedPageBreak/>
              <w:t xml:space="preserve">Коментар се не прихвата. </w:t>
            </w:r>
          </w:p>
          <w:p w14:paraId="2FE46608" w14:textId="77777777" w:rsidR="00C27122" w:rsidRPr="00EA4101" w:rsidRDefault="00C27122" w:rsidP="001A560D">
            <w:pPr>
              <w:jc w:val="both"/>
              <w:rPr>
                <w:sz w:val="21"/>
                <w:szCs w:val="21"/>
                <w:lang w:val="sr-Cyrl-RS"/>
              </w:rPr>
            </w:pPr>
          </w:p>
          <w:p w14:paraId="37EB457F" w14:textId="77777777" w:rsidR="00C27122" w:rsidRPr="00EA4101" w:rsidRDefault="00E00C40">
            <w:pPr>
              <w:spacing w:line="276" w:lineRule="auto"/>
              <w:jc w:val="both"/>
              <w:rPr>
                <w:sz w:val="21"/>
                <w:szCs w:val="21"/>
                <w:lang w:val="sr-Cyrl-RS"/>
              </w:rPr>
            </w:pPr>
            <w:r w:rsidRPr="00EA4101">
              <w:rPr>
                <w:sz w:val="21"/>
                <w:szCs w:val="21"/>
                <w:lang w:val="sr-Cyrl-RS"/>
              </w:rPr>
              <w:t xml:space="preserve">Општи и посебни циљеви су дефинисани на основу релевантних националних секторских стратешких, програмских и планских докумената, на основу стања животне средине, као и на основу стратешких питања животне средине од значаја за Републику Србију. Документи јавних политика су наведени у подпоглављу 1.1.3. Однос са другим документима и анализа институционалног оквира. Преглед постојећег стања и квалитета животне средине на подручју на које се Извештај односи дат је детаљно у поглављу 1.2. </w:t>
            </w:r>
          </w:p>
          <w:p w14:paraId="2730C657" w14:textId="77777777" w:rsidR="00C27122" w:rsidRPr="00EA4101" w:rsidRDefault="00C27122">
            <w:pPr>
              <w:spacing w:line="276" w:lineRule="auto"/>
              <w:jc w:val="both"/>
              <w:rPr>
                <w:sz w:val="21"/>
                <w:szCs w:val="21"/>
                <w:lang w:val="sr-Cyrl-RS"/>
              </w:rPr>
            </w:pPr>
          </w:p>
          <w:p w14:paraId="16188F20" w14:textId="77777777" w:rsidR="00C27122" w:rsidRPr="00EA4101" w:rsidRDefault="00E00C40">
            <w:pPr>
              <w:spacing w:line="276" w:lineRule="auto"/>
              <w:jc w:val="both"/>
              <w:rPr>
                <w:sz w:val="21"/>
                <w:szCs w:val="21"/>
                <w:lang w:val="sr-Cyrl-RS"/>
              </w:rPr>
            </w:pPr>
            <w:r w:rsidRPr="00EA4101">
              <w:rPr>
                <w:sz w:val="21"/>
                <w:szCs w:val="21"/>
                <w:lang w:val="sr-Cyrl-RS"/>
              </w:rPr>
              <w:lastRenderedPageBreak/>
              <w:t>Избор индикатора је извршен на основу Правилника о националној листи индикатора заштите животне средине (''Службени. гласник РС'', број 37/11),  индикатора које Агенција за заштиту животне средине користи у годишњим извештајима о стању животне средине, индикатора које Републички завод за статистику користи у мониторингу и извештавању, индикатора одрживог развоја (Уједињених нација и Републике Србије) дефинисаних Националном стратегијом одрживог развоја и Агендом 2030, а по којима у ограниченом обиму извештава Републички завод за статистику, као и осталих расположивих секторских индикатора, укључујући и оне индикаторе који су одређени позитивним стратешким, програмским и планским оквирима Републике Србије.</w:t>
            </w:r>
          </w:p>
          <w:p w14:paraId="03D147FA" w14:textId="77777777" w:rsidR="00C27122" w:rsidRPr="00EA4101" w:rsidRDefault="00E00C40">
            <w:pPr>
              <w:spacing w:line="276" w:lineRule="auto"/>
              <w:jc w:val="both"/>
              <w:rPr>
                <w:sz w:val="21"/>
                <w:szCs w:val="21"/>
                <w:lang w:val="sr-Cyrl-RS"/>
              </w:rPr>
            </w:pPr>
            <w:r w:rsidRPr="00EA4101">
              <w:rPr>
                <w:sz w:val="21"/>
                <w:szCs w:val="21"/>
                <w:lang w:val="sr-Cyrl-RS"/>
              </w:rPr>
              <w:t>Велики број одабраних индикатора су мерљиви (t/год, број дана у току године, %, m</w:t>
            </w:r>
            <w:r w:rsidRPr="00EA4101">
              <w:rPr>
                <w:sz w:val="21"/>
                <w:szCs w:val="21"/>
                <w:vertAlign w:val="superscript"/>
                <w:lang w:val="sr-Cyrl-RS"/>
              </w:rPr>
              <w:t>3</w:t>
            </w:r>
            <w:r w:rsidRPr="00EA4101">
              <w:rPr>
                <w:sz w:val="21"/>
                <w:szCs w:val="21"/>
                <w:lang w:val="sr-Cyrl-RS"/>
              </w:rPr>
              <w:t>, ha, хиљаде динара итд).</w:t>
            </w:r>
          </w:p>
        </w:tc>
      </w:tr>
      <w:tr w:rsidR="00994D04" w:rsidRPr="00EA4101" w14:paraId="1B2F453A" w14:textId="77777777" w:rsidTr="00AF090E">
        <w:trPr>
          <w:trHeight w:val="275"/>
        </w:trPr>
        <w:tc>
          <w:tcPr>
            <w:tcW w:w="201" w:type="pct"/>
            <w:vMerge/>
            <w:tcBorders>
              <w:left w:val="single" w:sz="4" w:space="0" w:color="auto"/>
              <w:right w:val="single" w:sz="4" w:space="0" w:color="auto"/>
            </w:tcBorders>
          </w:tcPr>
          <w:p w14:paraId="1BBE3E6D" w14:textId="77777777" w:rsidR="00C27122" w:rsidRPr="00EA4101" w:rsidRDefault="00C27122" w:rsidP="0094641A">
            <w:pPr>
              <w:numPr>
                <w:ilvl w:val="0"/>
                <w:numId w:val="1"/>
              </w:numPr>
              <w:spacing w:line="276" w:lineRule="auto"/>
              <w:jc w:val="center"/>
              <w:rPr>
                <w:sz w:val="21"/>
                <w:szCs w:val="21"/>
                <w:lang w:val="sr-Cyrl-RS"/>
              </w:rPr>
            </w:pPr>
          </w:p>
        </w:tc>
        <w:tc>
          <w:tcPr>
            <w:tcW w:w="509" w:type="pct"/>
            <w:vMerge/>
            <w:tcBorders>
              <w:left w:val="single" w:sz="4" w:space="0" w:color="auto"/>
              <w:right w:val="single" w:sz="4" w:space="0" w:color="auto"/>
            </w:tcBorders>
          </w:tcPr>
          <w:p w14:paraId="6C6D98A9" w14:textId="77777777" w:rsidR="00C27122" w:rsidRPr="00EA4101" w:rsidRDefault="00C27122">
            <w:pPr>
              <w:spacing w:line="276" w:lineRule="auto"/>
              <w:rPr>
                <w:sz w:val="21"/>
                <w:szCs w:val="21"/>
                <w:lang w:val="sr-Cyrl-RS"/>
              </w:rPr>
            </w:pPr>
          </w:p>
        </w:tc>
        <w:tc>
          <w:tcPr>
            <w:tcW w:w="559" w:type="pct"/>
            <w:tcBorders>
              <w:left w:val="single" w:sz="4" w:space="0" w:color="auto"/>
              <w:right w:val="single" w:sz="4" w:space="0" w:color="auto"/>
            </w:tcBorders>
          </w:tcPr>
          <w:p w14:paraId="43868D05" w14:textId="77777777" w:rsidR="00C27122" w:rsidRPr="00EA4101" w:rsidRDefault="00E00C40">
            <w:pPr>
              <w:spacing w:line="276" w:lineRule="auto"/>
              <w:rPr>
                <w:sz w:val="21"/>
                <w:szCs w:val="21"/>
                <w:lang w:val="sr-Cyrl-RS"/>
              </w:rPr>
            </w:pPr>
            <w:r w:rsidRPr="00EA4101">
              <w:rPr>
                <w:sz w:val="21"/>
                <w:szCs w:val="21"/>
                <w:lang w:val="sr-Cyrl-RS"/>
              </w:rPr>
              <w:t>Није дефинисано</w:t>
            </w:r>
          </w:p>
        </w:tc>
        <w:tc>
          <w:tcPr>
            <w:tcW w:w="1473" w:type="pct"/>
            <w:tcBorders>
              <w:top w:val="single" w:sz="4" w:space="0" w:color="auto"/>
              <w:left w:val="single" w:sz="4" w:space="0" w:color="auto"/>
              <w:bottom w:val="single" w:sz="4" w:space="0" w:color="auto"/>
              <w:right w:val="single" w:sz="4" w:space="0" w:color="auto"/>
            </w:tcBorders>
          </w:tcPr>
          <w:p w14:paraId="2D8823EF" w14:textId="77777777" w:rsidR="00C27122" w:rsidRPr="00EA4101" w:rsidRDefault="00E00C40">
            <w:pPr>
              <w:pStyle w:val="NoSpacing"/>
              <w:rPr>
                <w:rFonts w:ascii="Times New Roman" w:hAnsi="Times New Roman" w:cs="Times New Roman"/>
                <w:b/>
                <w:bCs/>
                <w:sz w:val="21"/>
                <w:szCs w:val="21"/>
                <w:lang w:val="sr-Cyrl-RS"/>
              </w:rPr>
            </w:pPr>
            <w:r w:rsidRPr="00EA4101">
              <w:rPr>
                <w:rFonts w:ascii="Times New Roman" w:hAnsi="Times New Roman" w:cs="Times New Roman"/>
                <w:b/>
                <w:bCs/>
                <w:sz w:val="21"/>
                <w:szCs w:val="21"/>
                <w:lang w:val="sr-Cyrl-RS"/>
              </w:rPr>
              <w:t>10.</w:t>
            </w:r>
            <w:r w:rsidRPr="00EA4101">
              <w:rPr>
                <w:rFonts w:ascii="Times New Roman" w:hAnsi="Times New Roman" w:cs="Times New Roman"/>
                <w:b/>
                <w:bCs/>
                <w:sz w:val="21"/>
                <w:szCs w:val="21"/>
                <w:lang w:val="sr-Latn-RS"/>
              </w:rPr>
              <w:t xml:space="preserve"> </w:t>
            </w:r>
            <w:r w:rsidRPr="00EA4101">
              <w:rPr>
                <w:rFonts w:ascii="Times New Roman" w:hAnsi="Times New Roman" w:cs="Times New Roman"/>
                <w:b/>
                <w:bCs/>
                <w:sz w:val="21"/>
                <w:szCs w:val="21"/>
                <w:lang w:val="sr-Cyrl-RS"/>
              </w:rPr>
              <w:t>Коментар</w:t>
            </w:r>
            <w:r w:rsidRPr="00EA4101">
              <w:rPr>
                <w:rFonts w:ascii="Times New Roman" w:hAnsi="Times New Roman" w:cs="Times New Roman"/>
                <w:b/>
                <w:bCs/>
                <w:sz w:val="21"/>
                <w:szCs w:val="21"/>
                <w:lang w:val="sr-Latn-RS"/>
              </w:rPr>
              <w:t>:</w:t>
            </w:r>
          </w:p>
          <w:p w14:paraId="20AD6756" w14:textId="77777777" w:rsidR="00C27122" w:rsidRPr="00EA4101" w:rsidRDefault="00E00C40">
            <w:pPr>
              <w:pStyle w:val="NoSpacing"/>
              <w:rPr>
                <w:rFonts w:ascii="Times New Roman" w:hAnsi="Times New Roman" w:cs="Times New Roman"/>
                <w:b/>
                <w:bCs/>
                <w:sz w:val="21"/>
                <w:szCs w:val="21"/>
                <w:lang w:val="sr-Cyrl-RS"/>
              </w:rPr>
            </w:pPr>
            <w:r w:rsidRPr="00EA4101">
              <w:rPr>
                <w:rFonts w:ascii="Times New Roman" w:hAnsi="Times New Roman" w:cs="Times New Roman"/>
                <w:b/>
                <w:bCs/>
                <w:sz w:val="21"/>
                <w:szCs w:val="21"/>
                <w:lang w:val="sr-Cyrl-RS"/>
              </w:rPr>
              <w:t xml:space="preserve">3. ПРОЦЕНА МОГУЋИХ УТИЦАЈА НА ЖИВОТНУ СРЕДИНУ </w:t>
            </w:r>
          </w:p>
          <w:p w14:paraId="37620996" w14:textId="77777777" w:rsidR="00C27122" w:rsidRPr="00EA4101" w:rsidRDefault="00E00C40">
            <w:pPr>
              <w:pStyle w:val="NoSpacing"/>
              <w:rPr>
                <w:rFonts w:ascii="Times New Roman" w:hAnsi="Times New Roman" w:cs="Times New Roman"/>
                <w:b/>
                <w:bCs/>
                <w:sz w:val="21"/>
                <w:szCs w:val="21"/>
                <w:lang w:val="sr-Cyrl-RS"/>
              </w:rPr>
            </w:pPr>
            <w:r w:rsidRPr="00EA4101">
              <w:rPr>
                <w:rFonts w:ascii="Times New Roman" w:hAnsi="Times New Roman" w:cs="Times New Roman"/>
                <w:b/>
                <w:bCs/>
                <w:sz w:val="21"/>
                <w:szCs w:val="21"/>
                <w:lang w:val="sr-Cyrl-RS"/>
              </w:rPr>
              <w:t>3.1. Приказ процењених утицаја варијантних решења Стратегије повољних са становишта заштите животне средине</w:t>
            </w:r>
          </w:p>
          <w:p w14:paraId="388E65DC" w14:textId="77777777" w:rsidR="00C27122" w:rsidRPr="00EA4101" w:rsidRDefault="00E00C40">
            <w:pPr>
              <w:spacing w:line="276" w:lineRule="auto"/>
              <w:jc w:val="both"/>
              <w:rPr>
                <w:sz w:val="21"/>
                <w:szCs w:val="21"/>
                <w:lang w:val="sr-Latn-RS"/>
              </w:rPr>
            </w:pPr>
            <w:r w:rsidRPr="00EA4101">
              <w:rPr>
                <w:sz w:val="21"/>
                <w:szCs w:val="21"/>
                <w:lang w:val="sr-Cyrl-RS"/>
              </w:rPr>
              <w:t xml:space="preserve">Израђивач Извештаја о СПУ није представио варијантна решења у складу са Законом о стратешкој процени утицаја. </w:t>
            </w:r>
          </w:p>
          <w:p w14:paraId="1BDCDBF3" w14:textId="77777777" w:rsidR="00C27122" w:rsidRPr="00EA4101" w:rsidRDefault="00C27122">
            <w:pPr>
              <w:spacing w:line="276" w:lineRule="auto"/>
              <w:jc w:val="both"/>
              <w:rPr>
                <w:sz w:val="21"/>
                <w:szCs w:val="21"/>
                <w:lang w:val="sr-Latn-RS"/>
              </w:rPr>
            </w:pPr>
          </w:p>
        </w:tc>
        <w:tc>
          <w:tcPr>
            <w:tcW w:w="2258" w:type="pct"/>
            <w:tcBorders>
              <w:left w:val="single" w:sz="4" w:space="0" w:color="auto"/>
              <w:right w:val="single" w:sz="4" w:space="0" w:color="auto"/>
            </w:tcBorders>
          </w:tcPr>
          <w:p w14:paraId="3A2BE60A" w14:textId="77777777" w:rsidR="00C27122" w:rsidRPr="00EA4101" w:rsidRDefault="00E00C40">
            <w:pPr>
              <w:spacing w:line="276" w:lineRule="auto"/>
              <w:jc w:val="both"/>
              <w:rPr>
                <w:b/>
                <w:bCs/>
                <w:sz w:val="21"/>
                <w:szCs w:val="21"/>
                <w:lang w:val="sr-Cyrl-RS"/>
              </w:rPr>
            </w:pPr>
            <w:r w:rsidRPr="00EA4101">
              <w:rPr>
                <w:b/>
                <w:bCs/>
                <w:sz w:val="21"/>
                <w:szCs w:val="21"/>
                <w:lang w:val="sr-Cyrl-RS"/>
              </w:rPr>
              <w:t xml:space="preserve">Коментар се не прихвата. </w:t>
            </w:r>
          </w:p>
          <w:p w14:paraId="5D92717C" w14:textId="5387DCBB" w:rsidR="00437EA8" w:rsidRDefault="00437EA8" w:rsidP="00437EA8">
            <w:pPr>
              <w:spacing w:line="276" w:lineRule="auto"/>
              <w:jc w:val="both"/>
            </w:pPr>
            <w:r w:rsidRPr="007C01E8">
              <w:rPr>
                <w:sz w:val="21"/>
                <w:szCs w:val="21"/>
                <w:lang w:val="sr-Latn-RS"/>
              </w:rPr>
              <w:t xml:space="preserve">Закон о стратешкој процени утицаја на животну средину не прописује шта су то варијантна решења </w:t>
            </w:r>
            <w:r w:rsidRPr="007C01E8">
              <w:rPr>
                <w:sz w:val="21"/>
                <w:szCs w:val="21"/>
                <w:lang w:val="sr-Cyrl-RS"/>
              </w:rPr>
              <w:t>Стратегије</w:t>
            </w:r>
            <w:r w:rsidRPr="007C01E8">
              <w:rPr>
                <w:sz w:val="21"/>
                <w:szCs w:val="21"/>
                <w:lang w:val="sr-Latn-RS"/>
              </w:rPr>
              <w:t xml:space="preserve"> која подлежу стратешкој процени утицаја</w:t>
            </w:r>
            <w:r w:rsidR="0000229C" w:rsidRPr="007C01E8">
              <w:rPr>
                <w:sz w:val="21"/>
                <w:szCs w:val="21"/>
                <w:lang w:val="sr-Cyrl-RS"/>
              </w:rPr>
              <w:t>.</w:t>
            </w:r>
            <w:r w:rsidRPr="007C01E8">
              <w:rPr>
                <w:sz w:val="21"/>
                <w:szCs w:val="21"/>
                <w:lang w:val="sr-Latn-RS"/>
              </w:rPr>
              <w:t xml:space="preserve"> </w:t>
            </w:r>
          </w:p>
          <w:p w14:paraId="034EED95" w14:textId="1D7B8FB1" w:rsidR="00437EA8" w:rsidRPr="00EA4101" w:rsidRDefault="00C40D38" w:rsidP="00437EA8">
            <w:pPr>
              <w:spacing w:line="276" w:lineRule="auto"/>
              <w:jc w:val="both"/>
              <w:rPr>
                <w:sz w:val="21"/>
                <w:szCs w:val="21"/>
                <w:lang w:val="sr-Cyrl-RS"/>
              </w:rPr>
            </w:pPr>
            <w:r>
              <w:rPr>
                <w:sz w:val="21"/>
                <w:szCs w:val="21"/>
                <w:lang w:val="sr-Cyrl-RS"/>
              </w:rPr>
              <w:t>Такође, н</w:t>
            </w:r>
            <w:r w:rsidR="00437EA8" w:rsidRPr="00EA4101">
              <w:rPr>
                <w:sz w:val="21"/>
                <w:szCs w:val="21"/>
                <w:lang w:val="sr-Cyrl-RS"/>
              </w:rPr>
              <w:t xml:space="preserve">а основу искустава чланова експертског тима у изради СПУ на разним хијерархијским нивоима и за различите документе јавних политика (планове и програме), на основу консултација са обрађивачем Стратегије током њене израде и на основу </w:t>
            </w:r>
            <w:r w:rsidR="007C01E8">
              <w:rPr>
                <w:sz w:val="21"/>
                <w:szCs w:val="21"/>
                <w:lang w:val="sr-Cyrl-RS"/>
              </w:rPr>
              <w:t>к</w:t>
            </w:r>
            <w:r w:rsidR="00437EA8" w:rsidRPr="00EA4101">
              <w:rPr>
                <w:sz w:val="21"/>
                <w:szCs w:val="21"/>
                <w:lang w:val="sr-Cyrl-RS"/>
              </w:rPr>
              <w:t>онсултација са појединим члановима Радне групе о финалној верзији Нацрта СПУ, мишљења смо да су варијантна решења адекватно приказана и вреднована.</w:t>
            </w:r>
          </w:p>
          <w:p w14:paraId="02894AEA" w14:textId="0D5AE993" w:rsidR="00C27122" w:rsidRDefault="00E00C40">
            <w:pPr>
              <w:spacing w:line="276" w:lineRule="auto"/>
              <w:jc w:val="both"/>
              <w:rPr>
                <w:sz w:val="21"/>
                <w:szCs w:val="21"/>
                <w:lang w:val="sr-Cyrl-RS"/>
              </w:rPr>
            </w:pPr>
            <w:r w:rsidRPr="00EA4101">
              <w:rPr>
                <w:sz w:val="21"/>
                <w:szCs w:val="21"/>
                <w:lang w:val="sr-Cyrl-RS"/>
              </w:rPr>
              <w:lastRenderedPageBreak/>
              <w:t>Размотрена су два могућа сценарија, односно извршено је вредновање утицаја по варијантама (са применом и без примене Стратегије) у односу на циљеве СПУ и укрштена су са свих шест стубова Стратегије, односно добијено је  решење које је најповољније са становишта заштите животне средине. Узети су сви стубови Стратегије јер реализација приоритетних активности утиче на животну средину, социо-економски развој и правно-институционални оквир. На крају је дат резиме вредновања варијантних решења и избор најповољнијег решења које претпоставља да ће Србија најкасније 2050. године бити угљенично неутрална.</w:t>
            </w:r>
          </w:p>
          <w:p w14:paraId="619175E8" w14:textId="352876C3" w:rsidR="00437EA8" w:rsidRDefault="00437EA8">
            <w:pPr>
              <w:spacing w:line="276" w:lineRule="auto"/>
              <w:jc w:val="both"/>
              <w:rPr>
                <w:sz w:val="21"/>
                <w:szCs w:val="21"/>
                <w:lang w:val="sr-Cyrl-RS"/>
              </w:rPr>
            </w:pPr>
            <w:r w:rsidRPr="007C01E8">
              <w:rPr>
                <w:sz w:val="21"/>
                <w:szCs w:val="21"/>
                <w:lang w:val="sr-Cyrl-RS"/>
              </w:rPr>
              <w:t xml:space="preserve">Код разматрања алтернатива, чланови експертског тима су закључили да је сасвим  </w:t>
            </w:r>
            <w:r w:rsidR="00C40D38" w:rsidRPr="007C01E8">
              <w:rPr>
                <w:sz w:val="21"/>
                <w:szCs w:val="21"/>
                <w:lang w:val="sr-Cyrl-RS"/>
              </w:rPr>
              <w:t xml:space="preserve">довољно да се поред алтернативе да се Стратегија не </w:t>
            </w:r>
            <w:r w:rsidR="0000229C" w:rsidRPr="007C01E8">
              <w:rPr>
                <w:sz w:val="21"/>
                <w:szCs w:val="21"/>
                <w:lang w:val="sr-Cyrl-RS"/>
              </w:rPr>
              <w:t>имплементира</w:t>
            </w:r>
            <w:r w:rsidR="00C40D38" w:rsidRPr="007C01E8">
              <w:rPr>
                <w:sz w:val="21"/>
                <w:szCs w:val="21"/>
                <w:lang w:val="sr-Cyrl-RS"/>
              </w:rPr>
              <w:t xml:space="preserve">, размотри </w:t>
            </w:r>
            <w:r w:rsidR="0000229C" w:rsidRPr="007C01E8">
              <w:rPr>
                <w:sz w:val="21"/>
                <w:szCs w:val="21"/>
                <w:lang w:val="sr-Cyrl-RS"/>
              </w:rPr>
              <w:t>алтернатив</w:t>
            </w:r>
            <w:r w:rsidR="007C01E8">
              <w:rPr>
                <w:sz w:val="21"/>
                <w:szCs w:val="21"/>
                <w:lang w:val="sr-Cyrl-RS"/>
              </w:rPr>
              <w:t>а</w:t>
            </w:r>
            <w:r w:rsidR="00C40D38" w:rsidRPr="007C01E8">
              <w:rPr>
                <w:sz w:val="21"/>
                <w:szCs w:val="21"/>
                <w:lang w:val="sr-Cyrl-RS"/>
              </w:rPr>
              <w:t xml:space="preserve"> којом ће Република Србија </w:t>
            </w:r>
            <w:r w:rsidRPr="007C01E8">
              <w:rPr>
                <w:sz w:val="21"/>
                <w:szCs w:val="21"/>
                <w:lang w:val="sr-Cyrl-RS"/>
              </w:rPr>
              <w:t>усклади</w:t>
            </w:r>
            <w:r w:rsidR="00C40D38" w:rsidRPr="007C01E8">
              <w:rPr>
                <w:sz w:val="21"/>
                <w:szCs w:val="21"/>
                <w:lang w:val="sr-Cyrl-RS"/>
              </w:rPr>
              <w:t>ти</w:t>
            </w:r>
            <w:r w:rsidRPr="007C01E8">
              <w:rPr>
                <w:sz w:val="21"/>
                <w:szCs w:val="21"/>
                <w:lang w:val="sr-Cyrl-RS"/>
              </w:rPr>
              <w:t xml:space="preserve"> еколошке прописе са европским скупом заједничких права и обавеза које обавезују све државе чланице ЕУ. </w:t>
            </w:r>
          </w:p>
          <w:p w14:paraId="30FAD021" w14:textId="5C6811DA" w:rsidR="00102E53" w:rsidRDefault="007C01E8" w:rsidP="00102E53">
            <w:pPr>
              <w:spacing w:line="276" w:lineRule="auto"/>
              <w:jc w:val="both"/>
              <w:rPr>
                <w:sz w:val="21"/>
                <w:szCs w:val="21"/>
                <w:lang w:val="sr-Cyrl-RS"/>
              </w:rPr>
            </w:pPr>
            <w:r>
              <w:rPr>
                <w:sz w:val="21"/>
                <w:szCs w:val="21"/>
                <w:lang w:val="sr-Cyrl-RS"/>
              </w:rPr>
              <w:t>Такође, чл.</w:t>
            </w:r>
            <w:r w:rsidR="00302934">
              <w:rPr>
                <w:sz w:val="21"/>
                <w:szCs w:val="21"/>
                <w:lang w:val="sr-Cyrl-RS"/>
              </w:rPr>
              <w:t xml:space="preserve"> </w:t>
            </w:r>
            <w:r w:rsidRPr="007C01E8">
              <w:rPr>
                <w:sz w:val="21"/>
                <w:szCs w:val="21"/>
                <w:lang w:val="sr-Cyrl-RS"/>
              </w:rPr>
              <w:t>15.</w:t>
            </w:r>
            <w:r w:rsidR="00A46DC7">
              <w:rPr>
                <w:sz w:val="21"/>
                <w:szCs w:val="21"/>
                <w:lang w:val="sr-Cyrl-RS"/>
              </w:rPr>
              <w:t xml:space="preserve"> </w:t>
            </w:r>
            <w:r>
              <w:rPr>
                <w:sz w:val="21"/>
                <w:szCs w:val="21"/>
                <w:lang w:val="sr-Cyrl-RS"/>
              </w:rPr>
              <w:t>Закона о стратешкој процени утицаја</w:t>
            </w:r>
            <w:r w:rsidR="00302934">
              <w:rPr>
                <w:sz w:val="21"/>
                <w:szCs w:val="21"/>
                <w:lang w:val="sr-Cyrl-RS"/>
              </w:rPr>
              <w:t xml:space="preserve"> </w:t>
            </w:r>
            <w:r>
              <w:rPr>
                <w:sz w:val="21"/>
                <w:szCs w:val="21"/>
                <w:lang w:val="sr-Cyrl-RS"/>
              </w:rPr>
              <w:t>(</w:t>
            </w:r>
            <w:r w:rsidRPr="007C01E8">
              <w:rPr>
                <w:sz w:val="21"/>
                <w:szCs w:val="21"/>
                <w:lang w:val="sr-Cyrl-RS"/>
              </w:rPr>
              <w:t xml:space="preserve">"Службени гласник РС", број </w:t>
            </w:r>
            <w:r w:rsidR="00A46DC7">
              <w:rPr>
                <w:sz w:val="21"/>
                <w:szCs w:val="21"/>
                <w:lang w:val="sr-Cyrl-RS"/>
              </w:rPr>
              <w:t>135/2004 и 88/2010) прописује процену могућих утицаја</w:t>
            </w:r>
            <w:r w:rsidRPr="007C01E8">
              <w:rPr>
                <w:sz w:val="21"/>
                <w:szCs w:val="21"/>
                <w:lang w:val="sr-Cyrl-RS"/>
              </w:rPr>
              <w:t xml:space="preserve"> </w:t>
            </w:r>
            <w:r w:rsidR="00A46DC7" w:rsidRPr="00302934">
              <w:rPr>
                <w:b/>
                <w:bCs/>
                <w:sz w:val="21"/>
                <w:szCs w:val="21"/>
                <w:lang w:val="sr-Cyrl-RS"/>
              </w:rPr>
              <w:t>плана и програма</w:t>
            </w:r>
            <w:r w:rsidR="00302934" w:rsidRPr="00302934">
              <w:rPr>
                <w:b/>
                <w:bCs/>
                <w:sz w:val="21"/>
                <w:szCs w:val="21"/>
                <w:lang w:val="sr-Cyrl-RS"/>
              </w:rPr>
              <w:t xml:space="preserve"> </w:t>
            </w:r>
            <w:r w:rsidR="00302934" w:rsidRPr="00302934">
              <w:rPr>
                <w:sz w:val="21"/>
                <w:szCs w:val="21"/>
                <w:lang w:val="sr-Cyrl-RS"/>
              </w:rPr>
              <w:t>на животну средину</w:t>
            </w:r>
            <w:r w:rsidR="00302934">
              <w:rPr>
                <w:sz w:val="21"/>
                <w:szCs w:val="21"/>
                <w:lang w:val="sr-Cyrl-RS"/>
              </w:rPr>
              <w:t xml:space="preserve"> и под тачком 2) наводи се да је један од елемената процене </w:t>
            </w:r>
            <w:r w:rsidR="00302934" w:rsidRPr="00102E53">
              <w:rPr>
                <w:b/>
                <w:bCs/>
                <w:sz w:val="21"/>
                <w:szCs w:val="21"/>
                <w:lang w:val="sr-Cyrl-RS"/>
              </w:rPr>
              <w:t>„поређење варијантних решења и приказ разлога за избор најповољнијег решења“</w:t>
            </w:r>
            <w:r w:rsidR="00302934">
              <w:rPr>
                <w:sz w:val="21"/>
                <w:szCs w:val="21"/>
                <w:lang w:val="sr-Cyrl-RS"/>
              </w:rPr>
              <w:t xml:space="preserve"> (не наводи се колико варијантхих решења треба приказати, а посебно не у контексту израде и примене Стратегије). Имајући у виду да је у међувремену ступио на снагу нови Закон о стратешкој процени </w:t>
            </w:r>
            <w:r w:rsidR="00302934">
              <w:rPr>
                <w:sz w:val="21"/>
                <w:szCs w:val="21"/>
                <w:lang w:val="sr-Cyrl-RS"/>
              </w:rPr>
              <w:lastRenderedPageBreak/>
              <w:t xml:space="preserve">утицаја на животну средину </w:t>
            </w:r>
            <w:r w:rsidR="00302934" w:rsidRPr="00302934">
              <w:rPr>
                <w:sz w:val="21"/>
                <w:szCs w:val="21"/>
                <w:lang w:val="sr-Cyrl-RS"/>
              </w:rPr>
              <w:t>("</w:t>
            </w:r>
            <w:r w:rsidR="00302934">
              <w:rPr>
                <w:sz w:val="21"/>
                <w:szCs w:val="21"/>
                <w:lang w:val="sr-Cyrl-RS"/>
              </w:rPr>
              <w:t>Сл. гласник РС</w:t>
            </w:r>
            <w:r w:rsidR="00302934" w:rsidRPr="00302934">
              <w:rPr>
                <w:sz w:val="21"/>
                <w:szCs w:val="21"/>
                <w:lang w:val="sr-Cyrl-RS"/>
              </w:rPr>
              <w:t xml:space="preserve">", </w:t>
            </w:r>
            <w:r w:rsidR="00302934">
              <w:rPr>
                <w:sz w:val="21"/>
                <w:szCs w:val="21"/>
                <w:lang w:val="sr-Cyrl-RS"/>
              </w:rPr>
              <w:t>бр.</w:t>
            </w:r>
            <w:r w:rsidR="00302934" w:rsidRPr="00302934">
              <w:rPr>
                <w:sz w:val="21"/>
                <w:szCs w:val="21"/>
                <w:lang w:val="sr-Cyrl-RS"/>
              </w:rPr>
              <w:t xml:space="preserve"> 94/2024)</w:t>
            </w:r>
            <w:r w:rsidR="00302934">
              <w:rPr>
                <w:sz w:val="21"/>
                <w:szCs w:val="21"/>
                <w:lang w:val="sr-Cyrl-RS"/>
              </w:rPr>
              <w:t xml:space="preserve"> који нешто ближе </w:t>
            </w:r>
            <w:r w:rsidR="00A46DC7">
              <w:rPr>
                <w:sz w:val="21"/>
                <w:szCs w:val="21"/>
                <w:lang w:val="sr-Cyrl-RS"/>
              </w:rPr>
              <w:t>прописује п</w:t>
            </w:r>
            <w:r w:rsidRPr="007C01E8">
              <w:rPr>
                <w:sz w:val="21"/>
                <w:szCs w:val="21"/>
                <w:lang w:val="sr-Cyrl-RS"/>
              </w:rPr>
              <w:t xml:space="preserve">олазне основе стратешке процене </w:t>
            </w:r>
            <w:r w:rsidR="00302934">
              <w:rPr>
                <w:sz w:val="21"/>
                <w:szCs w:val="21"/>
                <w:lang w:val="sr-Cyrl-RS"/>
              </w:rPr>
              <w:t xml:space="preserve">утицаја и  </w:t>
            </w:r>
            <w:r w:rsidR="00102E53">
              <w:rPr>
                <w:sz w:val="21"/>
                <w:szCs w:val="21"/>
                <w:lang w:val="sr-Cyrl-RS"/>
              </w:rPr>
              <w:t xml:space="preserve">у чл. 15. </w:t>
            </w:r>
            <w:r w:rsidR="00A46DC7">
              <w:rPr>
                <w:sz w:val="21"/>
                <w:szCs w:val="21"/>
                <w:lang w:val="sr-Cyrl-RS"/>
              </w:rPr>
              <w:t>под тачком 7)</w:t>
            </w:r>
            <w:r w:rsidR="00102E53">
              <w:rPr>
                <w:sz w:val="21"/>
                <w:szCs w:val="21"/>
                <w:lang w:val="sr-Cyrl-RS"/>
              </w:rPr>
              <w:t xml:space="preserve"> овог </w:t>
            </w:r>
            <w:r w:rsidR="00A46DC7">
              <w:rPr>
                <w:sz w:val="21"/>
                <w:szCs w:val="21"/>
                <w:lang w:val="sr-Cyrl-RS"/>
              </w:rPr>
              <w:t xml:space="preserve"> </w:t>
            </w:r>
            <w:r w:rsidR="00302934">
              <w:rPr>
                <w:sz w:val="21"/>
                <w:szCs w:val="21"/>
                <w:lang w:val="sr-Cyrl-RS"/>
              </w:rPr>
              <w:t xml:space="preserve">Закона </w:t>
            </w:r>
            <w:r w:rsidR="00A46DC7">
              <w:rPr>
                <w:sz w:val="21"/>
                <w:szCs w:val="21"/>
                <w:lang w:val="sr-Cyrl-RS"/>
              </w:rPr>
              <w:t>дефини</w:t>
            </w:r>
            <w:r w:rsidR="005E4BFB">
              <w:rPr>
                <w:sz w:val="21"/>
                <w:szCs w:val="21"/>
                <w:lang w:val="sr-Cyrl-RS"/>
              </w:rPr>
              <w:t>ше</w:t>
            </w:r>
            <w:r w:rsidR="00A46DC7">
              <w:rPr>
                <w:sz w:val="21"/>
                <w:szCs w:val="21"/>
                <w:lang w:val="sr-Cyrl-RS"/>
              </w:rPr>
              <w:t xml:space="preserve"> је да је потребно дати</w:t>
            </w:r>
            <w:r w:rsidR="00102E53">
              <w:rPr>
                <w:sz w:val="21"/>
                <w:szCs w:val="21"/>
                <w:lang w:val="sr-Cyrl-RS"/>
              </w:rPr>
              <w:t xml:space="preserve"> </w:t>
            </w:r>
            <w:r w:rsidR="00302934" w:rsidRPr="00302934">
              <w:rPr>
                <w:b/>
                <w:bCs/>
                <w:sz w:val="21"/>
                <w:szCs w:val="21"/>
                <w:lang w:val="sr-Cyrl-RS"/>
              </w:rPr>
              <w:t>„</w:t>
            </w:r>
            <w:r w:rsidRPr="007C01E8">
              <w:rPr>
                <w:sz w:val="21"/>
                <w:szCs w:val="21"/>
                <w:lang w:val="sr-Cyrl-RS"/>
              </w:rPr>
              <w:t xml:space="preserve"> </w:t>
            </w:r>
            <w:r w:rsidRPr="00A46DC7">
              <w:rPr>
                <w:b/>
                <w:bCs/>
                <w:sz w:val="21"/>
                <w:szCs w:val="21"/>
                <w:lang w:val="sr-Cyrl-RS"/>
              </w:rPr>
              <w:t>приказ припремљених разумних варијантних решења које је орган надлежан за припрему плана и програма</w:t>
            </w:r>
            <w:r w:rsidRPr="00A46DC7">
              <w:rPr>
                <w:sz w:val="21"/>
                <w:szCs w:val="21"/>
                <w:lang w:val="sr-Cyrl-RS"/>
              </w:rPr>
              <w:t xml:space="preserve"> </w:t>
            </w:r>
            <w:r w:rsidRPr="007C01E8">
              <w:rPr>
                <w:sz w:val="21"/>
                <w:szCs w:val="21"/>
                <w:lang w:val="sr-Cyrl-RS"/>
              </w:rPr>
              <w:t xml:space="preserve">разматрао узимајући у обзир циљ, сврху </w:t>
            </w:r>
            <w:r w:rsidRPr="00102E53">
              <w:rPr>
                <w:b/>
                <w:bCs/>
                <w:sz w:val="21"/>
                <w:szCs w:val="21"/>
                <w:lang w:val="sr-Cyrl-RS"/>
              </w:rPr>
              <w:t>и географски обухват плана и програма,</w:t>
            </w:r>
            <w:r w:rsidRPr="007C01E8">
              <w:rPr>
                <w:sz w:val="21"/>
                <w:szCs w:val="21"/>
                <w:lang w:val="sr-Cyrl-RS"/>
              </w:rPr>
              <w:t xml:space="preserve"> предложене мере за спречавање и/или смањење процењених значајних негативних утицаја на стање и квалитет чинилаца животне средине и живот и здравље људи</w:t>
            </w:r>
            <w:r w:rsidR="00102E53" w:rsidRPr="00102E53">
              <w:rPr>
                <w:b/>
                <w:bCs/>
                <w:sz w:val="21"/>
                <w:szCs w:val="21"/>
                <w:lang w:val="sr-Cyrl-RS"/>
              </w:rPr>
              <w:t>“</w:t>
            </w:r>
            <w:r w:rsidRPr="007C01E8">
              <w:rPr>
                <w:sz w:val="21"/>
                <w:szCs w:val="21"/>
                <w:lang w:val="sr-Cyrl-RS"/>
              </w:rPr>
              <w:t>;</w:t>
            </w:r>
            <w:r w:rsidR="00102E53">
              <w:rPr>
                <w:sz w:val="21"/>
                <w:szCs w:val="21"/>
                <w:lang w:val="sr-Cyrl-RS"/>
              </w:rPr>
              <w:t xml:space="preserve"> исти, у контексту стратегија,  не доноси значајну измену. </w:t>
            </w:r>
          </w:p>
          <w:p w14:paraId="2E0B672D" w14:textId="630674F5" w:rsidR="00300E14" w:rsidRPr="00EA4101" w:rsidRDefault="00300E14" w:rsidP="00102E53">
            <w:pPr>
              <w:spacing w:line="276" w:lineRule="auto"/>
              <w:jc w:val="both"/>
              <w:rPr>
                <w:sz w:val="21"/>
                <w:szCs w:val="21"/>
                <w:lang w:val="sr-Cyrl-RS"/>
              </w:rPr>
            </w:pPr>
          </w:p>
        </w:tc>
      </w:tr>
      <w:tr w:rsidR="00994D04" w:rsidRPr="00EA4101" w14:paraId="1EC93B67" w14:textId="77777777" w:rsidTr="00AF090E">
        <w:trPr>
          <w:trHeight w:val="275"/>
        </w:trPr>
        <w:tc>
          <w:tcPr>
            <w:tcW w:w="201" w:type="pct"/>
            <w:vMerge/>
            <w:tcBorders>
              <w:left w:val="single" w:sz="4" w:space="0" w:color="auto"/>
              <w:right w:val="single" w:sz="4" w:space="0" w:color="auto"/>
            </w:tcBorders>
          </w:tcPr>
          <w:p w14:paraId="404882BD" w14:textId="77777777" w:rsidR="00C27122" w:rsidRPr="00EA4101" w:rsidRDefault="00C27122" w:rsidP="0094641A">
            <w:pPr>
              <w:numPr>
                <w:ilvl w:val="0"/>
                <w:numId w:val="1"/>
              </w:numPr>
              <w:spacing w:line="276" w:lineRule="auto"/>
              <w:jc w:val="center"/>
              <w:rPr>
                <w:sz w:val="21"/>
                <w:szCs w:val="21"/>
                <w:lang w:val="sr-Cyrl-RS"/>
              </w:rPr>
            </w:pPr>
          </w:p>
        </w:tc>
        <w:tc>
          <w:tcPr>
            <w:tcW w:w="509" w:type="pct"/>
            <w:vMerge/>
            <w:tcBorders>
              <w:left w:val="single" w:sz="4" w:space="0" w:color="auto"/>
              <w:right w:val="single" w:sz="4" w:space="0" w:color="auto"/>
            </w:tcBorders>
          </w:tcPr>
          <w:p w14:paraId="38CC5784" w14:textId="77777777" w:rsidR="00C27122" w:rsidRPr="00EA4101" w:rsidRDefault="00C27122">
            <w:pPr>
              <w:spacing w:line="276" w:lineRule="auto"/>
              <w:rPr>
                <w:sz w:val="21"/>
                <w:szCs w:val="21"/>
                <w:lang w:val="sr-Cyrl-RS"/>
              </w:rPr>
            </w:pPr>
          </w:p>
        </w:tc>
        <w:tc>
          <w:tcPr>
            <w:tcW w:w="559" w:type="pct"/>
            <w:tcBorders>
              <w:left w:val="single" w:sz="4" w:space="0" w:color="auto"/>
              <w:right w:val="single" w:sz="4" w:space="0" w:color="auto"/>
            </w:tcBorders>
          </w:tcPr>
          <w:p w14:paraId="1246280A" w14:textId="77777777" w:rsidR="00C27122" w:rsidRPr="00EA4101" w:rsidRDefault="00E00C40">
            <w:pPr>
              <w:spacing w:line="276" w:lineRule="auto"/>
              <w:rPr>
                <w:sz w:val="21"/>
                <w:szCs w:val="21"/>
                <w:lang w:val="sr-Cyrl-RS"/>
              </w:rPr>
            </w:pPr>
            <w:r w:rsidRPr="00EA4101">
              <w:rPr>
                <w:sz w:val="21"/>
                <w:szCs w:val="21"/>
                <w:lang w:val="sr-Cyrl-RS"/>
              </w:rPr>
              <w:t>Није дефинисано</w:t>
            </w:r>
          </w:p>
        </w:tc>
        <w:tc>
          <w:tcPr>
            <w:tcW w:w="1473" w:type="pct"/>
            <w:tcBorders>
              <w:top w:val="single" w:sz="4" w:space="0" w:color="auto"/>
              <w:left w:val="single" w:sz="4" w:space="0" w:color="auto"/>
              <w:right w:val="single" w:sz="4" w:space="0" w:color="auto"/>
            </w:tcBorders>
          </w:tcPr>
          <w:p w14:paraId="74F68071" w14:textId="77777777" w:rsidR="00C27122" w:rsidRPr="00EA4101" w:rsidRDefault="00E00C40">
            <w:pPr>
              <w:pStyle w:val="NoSpacing"/>
              <w:rPr>
                <w:rFonts w:ascii="Times New Roman" w:hAnsi="Times New Roman" w:cs="Times New Roman"/>
                <w:b/>
                <w:bCs/>
                <w:sz w:val="21"/>
                <w:szCs w:val="21"/>
                <w:lang w:val="sr-Cyrl-RS"/>
              </w:rPr>
            </w:pPr>
            <w:r w:rsidRPr="00EA4101">
              <w:rPr>
                <w:rFonts w:ascii="Times New Roman" w:hAnsi="Times New Roman" w:cs="Times New Roman"/>
                <w:b/>
                <w:bCs/>
                <w:sz w:val="21"/>
                <w:szCs w:val="21"/>
                <w:lang w:val="sr-Cyrl-RS"/>
              </w:rPr>
              <w:t>11.</w:t>
            </w:r>
            <w:r w:rsidRPr="00EA4101">
              <w:rPr>
                <w:rFonts w:ascii="Times New Roman" w:hAnsi="Times New Roman" w:cs="Times New Roman"/>
                <w:b/>
                <w:bCs/>
                <w:sz w:val="21"/>
                <w:szCs w:val="21"/>
                <w:lang w:val="sr-Latn-RS"/>
              </w:rPr>
              <w:t xml:space="preserve"> </w:t>
            </w:r>
            <w:r w:rsidRPr="00EA4101">
              <w:rPr>
                <w:rFonts w:ascii="Times New Roman" w:hAnsi="Times New Roman" w:cs="Times New Roman"/>
                <w:b/>
                <w:bCs/>
                <w:sz w:val="21"/>
                <w:szCs w:val="21"/>
                <w:lang w:val="sr-Cyrl-RS"/>
              </w:rPr>
              <w:t>Коментар</w:t>
            </w:r>
            <w:r w:rsidRPr="00EA4101">
              <w:rPr>
                <w:rFonts w:ascii="Times New Roman" w:hAnsi="Times New Roman" w:cs="Times New Roman"/>
                <w:b/>
                <w:bCs/>
                <w:sz w:val="21"/>
                <w:szCs w:val="21"/>
                <w:lang w:val="sr-Latn-RS"/>
              </w:rPr>
              <w:t>:</w:t>
            </w:r>
          </w:p>
          <w:p w14:paraId="6163E97C" w14:textId="77777777" w:rsidR="00C27122" w:rsidRPr="00EA4101" w:rsidRDefault="00E00C40">
            <w:pPr>
              <w:pStyle w:val="NoSpacing"/>
              <w:rPr>
                <w:rFonts w:ascii="Times New Roman" w:hAnsi="Times New Roman" w:cs="Times New Roman"/>
                <w:b/>
                <w:bCs/>
                <w:sz w:val="21"/>
                <w:szCs w:val="21"/>
                <w:lang w:val="sr-Cyrl-RS"/>
              </w:rPr>
            </w:pPr>
            <w:r w:rsidRPr="00EA4101">
              <w:rPr>
                <w:rFonts w:ascii="Times New Roman" w:hAnsi="Times New Roman" w:cs="Times New Roman"/>
                <w:b/>
                <w:bCs/>
                <w:sz w:val="21"/>
                <w:szCs w:val="21"/>
                <w:lang w:val="sr-Cyrl-RS"/>
              </w:rPr>
              <w:t>4. СМЕРНИЦЕ ЗА ПРОЦЕНУ УТИЦАЈА НА НИЖИМ ХИЈЕРАРХИЈСКИМ НИВОИМА</w:t>
            </w:r>
          </w:p>
          <w:p w14:paraId="510113A9" w14:textId="77777777" w:rsidR="00C27122" w:rsidRPr="00EA4101" w:rsidRDefault="00E00C40">
            <w:pPr>
              <w:pStyle w:val="NoSpacing"/>
              <w:rPr>
                <w:rFonts w:ascii="Times New Roman" w:hAnsi="Times New Roman" w:cs="Times New Roman"/>
                <w:sz w:val="21"/>
                <w:szCs w:val="21"/>
                <w:lang w:val="sr-Cyrl-RS"/>
              </w:rPr>
            </w:pPr>
            <w:r w:rsidRPr="00EA4101">
              <w:rPr>
                <w:rFonts w:ascii="Times New Roman" w:hAnsi="Times New Roman" w:cs="Times New Roman"/>
                <w:sz w:val="21"/>
                <w:szCs w:val="21"/>
                <w:lang w:val="sr-Cyrl-RS"/>
              </w:rPr>
              <w:t xml:space="preserve">Извештај о СПУ не садржи смернице за ниже хијерархијске нивое и није израђен у складу са чл. 16. Закона о стратешкој процени утицаја на животну средину. </w:t>
            </w:r>
          </w:p>
          <w:p w14:paraId="287ACD3E" w14:textId="77777777" w:rsidR="00C27122" w:rsidRPr="00EA4101" w:rsidRDefault="00C27122">
            <w:pPr>
              <w:spacing w:line="276" w:lineRule="auto"/>
              <w:jc w:val="both"/>
              <w:rPr>
                <w:sz w:val="21"/>
                <w:szCs w:val="21"/>
                <w:lang w:val="sr-Cyrl-RS"/>
              </w:rPr>
            </w:pPr>
          </w:p>
        </w:tc>
        <w:tc>
          <w:tcPr>
            <w:tcW w:w="2258" w:type="pct"/>
            <w:tcBorders>
              <w:left w:val="single" w:sz="4" w:space="0" w:color="auto"/>
              <w:right w:val="single" w:sz="4" w:space="0" w:color="auto"/>
            </w:tcBorders>
          </w:tcPr>
          <w:p w14:paraId="2EC78B35" w14:textId="3ED087C6" w:rsidR="008E6111" w:rsidRPr="00EA4101" w:rsidRDefault="008E6111" w:rsidP="008E6111">
            <w:pPr>
              <w:spacing w:line="276" w:lineRule="auto"/>
              <w:jc w:val="both"/>
              <w:rPr>
                <w:b/>
                <w:bCs/>
                <w:sz w:val="21"/>
                <w:szCs w:val="21"/>
                <w:lang w:val="sr-Cyrl-RS"/>
              </w:rPr>
            </w:pPr>
            <w:r w:rsidRPr="00EA4101">
              <w:rPr>
                <w:b/>
                <w:bCs/>
                <w:sz w:val="21"/>
                <w:szCs w:val="21"/>
                <w:lang w:val="sr-Cyrl-RS"/>
              </w:rPr>
              <w:t xml:space="preserve">Коментар се прихвата. </w:t>
            </w:r>
          </w:p>
          <w:p w14:paraId="1EC928BA" w14:textId="77777777" w:rsidR="00DD699D" w:rsidRDefault="00DD699D">
            <w:pPr>
              <w:spacing w:line="276" w:lineRule="auto"/>
              <w:jc w:val="both"/>
              <w:rPr>
                <w:b/>
                <w:bCs/>
                <w:sz w:val="21"/>
                <w:szCs w:val="21"/>
                <w:lang w:val="sr-Cyrl-RS"/>
              </w:rPr>
            </w:pPr>
          </w:p>
          <w:p w14:paraId="164EE062" w14:textId="6704F335" w:rsidR="00272705" w:rsidRPr="00A13651" w:rsidRDefault="00DD699D">
            <w:pPr>
              <w:spacing w:line="276" w:lineRule="auto"/>
              <w:jc w:val="both"/>
              <w:rPr>
                <w:sz w:val="21"/>
                <w:szCs w:val="21"/>
                <w:lang w:val="sr-Cyrl-RS"/>
              </w:rPr>
            </w:pPr>
            <w:r w:rsidRPr="00A13651">
              <w:rPr>
                <w:sz w:val="21"/>
                <w:szCs w:val="21"/>
                <w:lang w:val="sr-Cyrl-RS"/>
              </w:rPr>
              <w:t>Поглавље 4. на странама од 13</w:t>
            </w:r>
            <w:r w:rsidR="00184E2D">
              <w:rPr>
                <w:sz w:val="21"/>
                <w:szCs w:val="21"/>
                <w:lang w:val="sr-Cyrl-RS"/>
              </w:rPr>
              <w:t>2</w:t>
            </w:r>
            <w:r w:rsidRPr="00A13651">
              <w:rPr>
                <w:sz w:val="21"/>
                <w:szCs w:val="21"/>
                <w:lang w:val="sr-Cyrl-RS"/>
              </w:rPr>
              <w:t xml:space="preserve"> до 13</w:t>
            </w:r>
            <w:r w:rsidR="00184E2D">
              <w:rPr>
                <w:sz w:val="21"/>
                <w:szCs w:val="21"/>
                <w:lang w:val="sr-Cyrl-RS"/>
              </w:rPr>
              <w:t>5</w:t>
            </w:r>
            <w:r w:rsidRPr="00A13651">
              <w:rPr>
                <w:sz w:val="21"/>
                <w:szCs w:val="21"/>
                <w:lang w:val="sr-Cyrl-RS"/>
              </w:rPr>
              <w:t xml:space="preserve"> је допуњено и и исправљено у складу са коментаром.</w:t>
            </w:r>
          </w:p>
          <w:p w14:paraId="0A20938D" w14:textId="77777777" w:rsidR="00C27122" w:rsidRPr="00EA4101" w:rsidRDefault="00C27122" w:rsidP="00603A04">
            <w:pPr>
              <w:spacing w:line="276" w:lineRule="auto"/>
              <w:jc w:val="both"/>
              <w:rPr>
                <w:b/>
                <w:bCs/>
                <w:sz w:val="21"/>
                <w:szCs w:val="21"/>
                <w:lang w:val="sr-Cyrl-RS"/>
              </w:rPr>
            </w:pPr>
          </w:p>
        </w:tc>
      </w:tr>
    </w:tbl>
    <w:p w14:paraId="0F10FDC4" w14:textId="77777777" w:rsidR="00C27122" w:rsidRDefault="00C27122">
      <w:pPr>
        <w:rPr>
          <w:lang w:val="sr-Cyrl-RS"/>
        </w:rPr>
      </w:pPr>
    </w:p>
    <w:sectPr w:rsidR="00C27122">
      <w:pgSz w:w="16838" w:h="11906" w:orient="landscape"/>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78EB99" w14:textId="77777777" w:rsidR="00A6346B" w:rsidRDefault="00A6346B" w:rsidP="00EA4101">
      <w:r>
        <w:separator/>
      </w:r>
    </w:p>
  </w:endnote>
  <w:endnote w:type="continuationSeparator" w:id="0">
    <w:p w14:paraId="0EADA59A" w14:textId="77777777" w:rsidR="00A6346B" w:rsidRDefault="00A6346B" w:rsidP="00EA4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Bold">
    <w:altName w:val="Times New Roman"/>
    <w:charset w:val="00"/>
    <w:family w:val="roman"/>
    <w:pitch w:val="default"/>
  </w:font>
  <w:font w:name="Times-Roman">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2883805"/>
      <w:docPartObj>
        <w:docPartGallery w:val="Page Numbers (Bottom of Page)"/>
        <w:docPartUnique/>
      </w:docPartObj>
    </w:sdtPr>
    <w:sdtEndPr>
      <w:rPr>
        <w:noProof/>
      </w:rPr>
    </w:sdtEndPr>
    <w:sdtContent>
      <w:p w14:paraId="1302BB3A" w14:textId="46885951" w:rsidR="00EA4101" w:rsidRDefault="00EA410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DF2C3F0" w14:textId="77777777" w:rsidR="00EA4101" w:rsidRDefault="00EA41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750625" w14:textId="77777777" w:rsidR="00A6346B" w:rsidRDefault="00A6346B" w:rsidP="00EA4101">
      <w:r>
        <w:separator/>
      </w:r>
    </w:p>
  </w:footnote>
  <w:footnote w:type="continuationSeparator" w:id="0">
    <w:p w14:paraId="3884CBD3" w14:textId="77777777" w:rsidR="00A6346B" w:rsidRDefault="00A6346B" w:rsidP="00EA41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A17553"/>
    <w:multiLevelType w:val="multilevel"/>
    <w:tmpl w:val="250E0788"/>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D9912B4"/>
    <w:multiLevelType w:val="hybridMultilevel"/>
    <w:tmpl w:val="B2306C36"/>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 w15:restartNumberingAfterBreak="0">
    <w:nsid w:val="4C615A03"/>
    <w:multiLevelType w:val="multilevel"/>
    <w:tmpl w:val="4C615A03"/>
    <w:lvl w:ilvl="0">
      <w:start w:val="1"/>
      <w:numFmt w:val="bullet"/>
      <w:lvlText w:val=""/>
      <w:lvlJc w:val="left"/>
      <w:pPr>
        <w:ind w:left="60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num w:numId="1" w16cid:durableId="13568131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68315494">
    <w:abstractNumId w:val="1"/>
  </w:num>
  <w:num w:numId="3" w16cid:durableId="2064403743">
    <w:abstractNumId w:val="2"/>
  </w:num>
  <w:num w:numId="4" w16cid:durableId="16945770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hyphenationZone w:val="425"/>
  <w:drawingGridVerticalSpacing w:val="156"/>
  <w:noPunctuationKerning/>
  <w:characterSpacingControl w:val="doNotCompres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3E656404"/>
    <w:rsid w:val="0000229C"/>
    <w:rsid w:val="0003186C"/>
    <w:rsid w:val="0005153E"/>
    <w:rsid w:val="000B69B7"/>
    <w:rsid w:val="000C5222"/>
    <w:rsid w:val="000D01E4"/>
    <w:rsid w:val="000E363E"/>
    <w:rsid w:val="00102E53"/>
    <w:rsid w:val="0012038E"/>
    <w:rsid w:val="0012778F"/>
    <w:rsid w:val="00156759"/>
    <w:rsid w:val="00165485"/>
    <w:rsid w:val="00167E80"/>
    <w:rsid w:val="00184E2D"/>
    <w:rsid w:val="00191E1B"/>
    <w:rsid w:val="001A560D"/>
    <w:rsid w:val="002007EB"/>
    <w:rsid w:val="002057B2"/>
    <w:rsid w:val="00227091"/>
    <w:rsid w:val="00260FFE"/>
    <w:rsid w:val="00272705"/>
    <w:rsid w:val="002C52D2"/>
    <w:rsid w:val="002D19E2"/>
    <w:rsid w:val="002E5C40"/>
    <w:rsid w:val="002F2FBA"/>
    <w:rsid w:val="00300E14"/>
    <w:rsid w:val="00302934"/>
    <w:rsid w:val="00321A4C"/>
    <w:rsid w:val="00322A15"/>
    <w:rsid w:val="003546BD"/>
    <w:rsid w:val="0036691E"/>
    <w:rsid w:val="003745BC"/>
    <w:rsid w:val="003969B7"/>
    <w:rsid w:val="003A2BE3"/>
    <w:rsid w:val="003A2D0C"/>
    <w:rsid w:val="003D3ED3"/>
    <w:rsid w:val="003F64BF"/>
    <w:rsid w:val="00403045"/>
    <w:rsid w:val="004108AE"/>
    <w:rsid w:val="00437EA8"/>
    <w:rsid w:val="004477DC"/>
    <w:rsid w:val="00450602"/>
    <w:rsid w:val="004673BF"/>
    <w:rsid w:val="00496C89"/>
    <w:rsid w:val="004C16F0"/>
    <w:rsid w:val="004E164E"/>
    <w:rsid w:val="004E3D10"/>
    <w:rsid w:val="004F1896"/>
    <w:rsid w:val="0053245D"/>
    <w:rsid w:val="00574C04"/>
    <w:rsid w:val="00583608"/>
    <w:rsid w:val="005A6E71"/>
    <w:rsid w:val="005B0EBD"/>
    <w:rsid w:val="005E4BFB"/>
    <w:rsid w:val="00603A04"/>
    <w:rsid w:val="006278E2"/>
    <w:rsid w:val="00636EB3"/>
    <w:rsid w:val="006441E5"/>
    <w:rsid w:val="00677BBF"/>
    <w:rsid w:val="006B1278"/>
    <w:rsid w:val="006C32EF"/>
    <w:rsid w:val="00701B3C"/>
    <w:rsid w:val="0073487A"/>
    <w:rsid w:val="007403CF"/>
    <w:rsid w:val="00790B59"/>
    <w:rsid w:val="007B1BED"/>
    <w:rsid w:val="007C01E8"/>
    <w:rsid w:val="007F0B6E"/>
    <w:rsid w:val="007F6573"/>
    <w:rsid w:val="008337FE"/>
    <w:rsid w:val="00834460"/>
    <w:rsid w:val="00873553"/>
    <w:rsid w:val="00894C64"/>
    <w:rsid w:val="008956D2"/>
    <w:rsid w:val="008C77EF"/>
    <w:rsid w:val="008C7EFB"/>
    <w:rsid w:val="008D04F1"/>
    <w:rsid w:val="008E6111"/>
    <w:rsid w:val="008E74E5"/>
    <w:rsid w:val="009069C2"/>
    <w:rsid w:val="009332BE"/>
    <w:rsid w:val="009404B5"/>
    <w:rsid w:val="0094641A"/>
    <w:rsid w:val="00947980"/>
    <w:rsid w:val="00953366"/>
    <w:rsid w:val="00961996"/>
    <w:rsid w:val="00972C67"/>
    <w:rsid w:val="00994D04"/>
    <w:rsid w:val="009A7013"/>
    <w:rsid w:val="009B173B"/>
    <w:rsid w:val="009C46F6"/>
    <w:rsid w:val="009F0B74"/>
    <w:rsid w:val="00A13651"/>
    <w:rsid w:val="00A27C11"/>
    <w:rsid w:val="00A46DC7"/>
    <w:rsid w:val="00A6346B"/>
    <w:rsid w:val="00A807C2"/>
    <w:rsid w:val="00A934A4"/>
    <w:rsid w:val="00AC0C9A"/>
    <w:rsid w:val="00AD6CB8"/>
    <w:rsid w:val="00AF090E"/>
    <w:rsid w:val="00B03A4F"/>
    <w:rsid w:val="00B21445"/>
    <w:rsid w:val="00B571F6"/>
    <w:rsid w:val="00BA3B7D"/>
    <w:rsid w:val="00BD5058"/>
    <w:rsid w:val="00BD54F9"/>
    <w:rsid w:val="00BE5E00"/>
    <w:rsid w:val="00C05BA0"/>
    <w:rsid w:val="00C103A6"/>
    <w:rsid w:val="00C27122"/>
    <w:rsid w:val="00C36331"/>
    <w:rsid w:val="00C40D38"/>
    <w:rsid w:val="00CE11F9"/>
    <w:rsid w:val="00D21707"/>
    <w:rsid w:val="00D35C40"/>
    <w:rsid w:val="00D701A2"/>
    <w:rsid w:val="00D960AC"/>
    <w:rsid w:val="00DA7537"/>
    <w:rsid w:val="00DA782E"/>
    <w:rsid w:val="00DB1B65"/>
    <w:rsid w:val="00DB5A29"/>
    <w:rsid w:val="00DD699D"/>
    <w:rsid w:val="00DE0391"/>
    <w:rsid w:val="00E00C40"/>
    <w:rsid w:val="00E06356"/>
    <w:rsid w:val="00E25391"/>
    <w:rsid w:val="00E36782"/>
    <w:rsid w:val="00E436E1"/>
    <w:rsid w:val="00E74921"/>
    <w:rsid w:val="00E8654D"/>
    <w:rsid w:val="00E960A8"/>
    <w:rsid w:val="00EA022B"/>
    <w:rsid w:val="00EA4101"/>
    <w:rsid w:val="00EC6759"/>
    <w:rsid w:val="00EC7492"/>
    <w:rsid w:val="00EC7E1D"/>
    <w:rsid w:val="00ED54A6"/>
    <w:rsid w:val="00F17B83"/>
    <w:rsid w:val="00F26C6A"/>
    <w:rsid w:val="00F377E5"/>
    <w:rsid w:val="00F7793A"/>
    <w:rsid w:val="00FD6016"/>
    <w:rsid w:val="00FD78B9"/>
    <w:rsid w:val="00FF4602"/>
    <w:rsid w:val="06B445E6"/>
    <w:rsid w:val="3E656404"/>
    <w:rsid w:val="3FB40FEE"/>
    <w:rsid w:val="7A0655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F88E99"/>
  <w15:docId w15:val="{D122BB13-93A3-4A53-9D49-A82EB0D83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sr-Latn-RS" w:eastAsia="sr-Latn-R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next w:val="Normal"/>
    <w:qFormat/>
    <w:pPr>
      <w:keepNext/>
      <w:keepLines/>
      <w:spacing w:before="340" w:after="330" w:line="578" w:lineRule="auto"/>
      <w:outlineLvl w:val="0"/>
    </w:pPr>
    <w:rPr>
      <w:b/>
      <w:bCs/>
      <w:kern w:val="44"/>
      <w:sz w:val="44"/>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563C1" w:themeColor="hyperlink"/>
      <w:u w:val="single"/>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p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styleId="NoSpacing">
    <w:name w:val="No Spacing"/>
    <w:uiPriority w:val="1"/>
    <w:qFormat/>
    <w:rPr>
      <w:rFonts w:asciiTheme="minorHAnsi" w:eastAsiaTheme="minorHAnsi" w:hAnsiTheme="minorHAnsi" w:cstheme="minorBidi"/>
      <w:sz w:val="22"/>
      <w:szCs w:val="22"/>
      <w:lang w:val="en-US" w:eastAsia="en-US"/>
    </w:rPr>
  </w:style>
  <w:style w:type="character" w:customStyle="1" w:styleId="fontstyle01">
    <w:name w:val="fontstyle01"/>
    <w:basedOn w:val="DefaultParagraphFont"/>
    <w:rPr>
      <w:rFonts w:ascii="Times-Bold" w:hAnsi="Times-Bold" w:hint="default"/>
      <w:b/>
      <w:bCs/>
      <w:color w:val="000000"/>
      <w:sz w:val="22"/>
      <w:szCs w:val="22"/>
    </w:rPr>
  </w:style>
  <w:style w:type="character" w:customStyle="1" w:styleId="fontstyle21">
    <w:name w:val="fontstyle21"/>
    <w:basedOn w:val="DefaultParagraphFont"/>
    <w:qFormat/>
    <w:rPr>
      <w:rFonts w:ascii="Times-Roman" w:hAnsi="Times-Roman" w:hint="default"/>
      <w:color w:val="000000"/>
      <w:sz w:val="22"/>
      <w:szCs w:val="22"/>
    </w:rPr>
  </w:style>
  <w:style w:type="paragraph" w:styleId="Header">
    <w:name w:val="header"/>
    <w:basedOn w:val="Normal"/>
    <w:link w:val="HeaderChar"/>
    <w:rsid w:val="00EA4101"/>
    <w:pPr>
      <w:tabs>
        <w:tab w:val="center" w:pos="4513"/>
        <w:tab w:val="right" w:pos="9026"/>
      </w:tabs>
    </w:pPr>
  </w:style>
  <w:style w:type="character" w:customStyle="1" w:styleId="HeaderChar">
    <w:name w:val="Header Char"/>
    <w:basedOn w:val="DefaultParagraphFont"/>
    <w:link w:val="Header"/>
    <w:rsid w:val="00EA4101"/>
    <w:rPr>
      <w:sz w:val="24"/>
      <w:szCs w:val="24"/>
      <w:lang w:val="en-US" w:eastAsia="en-US"/>
    </w:rPr>
  </w:style>
  <w:style w:type="paragraph" w:styleId="Footer">
    <w:name w:val="footer"/>
    <w:basedOn w:val="Normal"/>
    <w:link w:val="FooterChar"/>
    <w:uiPriority w:val="99"/>
    <w:rsid w:val="00EA4101"/>
    <w:pPr>
      <w:tabs>
        <w:tab w:val="center" w:pos="4513"/>
        <w:tab w:val="right" w:pos="9026"/>
      </w:tabs>
    </w:pPr>
  </w:style>
  <w:style w:type="character" w:customStyle="1" w:styleId="FooterChar">
    <w:name w:val="Footer Char"/>
    <w:basedOn w:val="DefaultParagraphFont"/>
    <w:link w:val="Footer"/>
    <w:uiPriority w:val="99"/>
    <w:rsid w:val="00EA4101"/>
    <w:rPr>
      <w:sz w:val="24"/>
      <w:szCs w:val="24"/>
      <w:lang w:val="en-US" w:eastAsia="en-US"/>
    </w:rPr>
  </w:style>
  <w:style w:type="character" w:styleId="CommentReference">
    <w:name w:val="annotation reference"/>
    <w:basedOn w:val="DefaultParagraphFont"/>
    <w:rsid w:val="00A27C11"/>
    <w:rPr>
      <w:sz w:val="16"/>
      <w:szCs w:val="16"/>
    </w:rPr>
  </w:style>
  <w:style w:type="paragraph" w:styleId="CommentText">
    <w:name w:val="annotation text"/>
    <w:basedOn w:val="Normal"/>
    <w:link w:val="CommentTextChar"/>
    <w:rsid w:val="00A27C11"/>
    <w:rPr>
      <w:sz w:val="20"/>
      <w:szCs w:val="20"/>
    </w:rPr>
  </w:style>
  <w:style w:type="character" w:customStyle="1" w:styleId="CommentTextChar">
    <w:name w:val="Comment Text Char"/>
    <w:basedOn w:val="DefaultParagraphFont"/>
    <w:link w:val="CommentText"/>
    <w:rsid w:val="00A27C11"/>
    <w:rPr>
      <w:lang w:val="en-US" w:eastAsia="en-US"/>
    </w:rPr>
  </w:style>
  <w:style w:type="paragraph" w:styleId="CommentSubject">
    <w:name w:val="annotation subject"/>
    <w:basedOn w:val="CommentText"/>
    <w:next w:val="CommentText"/>
    <w:link w:val="CommentSubjectChar"/>
    <w:rsid w:val="00A27C11"/>
    <w:rPr>
      <w:b/>
      <w:bCs/>
    </w:rPr>
  </w:style>
  <w:style w:type="character" w:customStyle="1" w:styleId="CommentSubjectChar">
    <w:name w:val="Comment Subject Char"/>
    <w:basedOn w:val="CommentTextChar"/>
    <w:link w:val="CommentSubject"/>
    <w:rsid w:val="00A27C11"/>
    <w:rPr>
      <w:b/>
      <w:bCs/>
      <w:lang w:val="en-US" w:eastAsia="en-US"/>
    </w:rPr>
  </w:style>
  <w:style w:type="paragraph" w:styleId="Revision">
    <w:name w:val="Revision"/>
    <w:hidden/>
    <w:uiPriority w:val="99"/>
    <w:unhideWhenUsed/>
    <w:rsid w:val="004E3D10"/>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9308287">
      <w:bodyDiv w:val="1"/>
      <w:marLeft w:val="0"/>
      <w:marRight w:val="0"/>
      <w:marTop w:val="0"/>
      <w:marBottom w:val="0"/>
      <w:divBdr>
        <w:top w:val="none" w:sz="0" w:space="0" w:color="auto"/>
        <w:left w:val="none" w:sz="0" w:space="0" w:color="auto"/>
        <w:bottom w:val="none" w:sz="0" w:space="0" w:color="auto"/>
        <w:right w:val="none" w:sz="0" w:space="0" w:color="auto"/>
      </w:divBdr>
    </w:div>
    <w:div w:id="17643794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9b24b12-d7e5-4e46-9c82-4aaab35e0d6e">
      <Terms xmlns="http://schemas.microsoft.com/office/infopath/2007/PartnerControls"/>
    </lcf76f155ced4ddcb4097134ff3c332f>
    <TaxCatchAll xmlns="3989381d-8515-4919-a331-87c58876b42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95BDFC38CAB204A81EF7F1CD8A60BE2" ma:contentTypeVersion="18" ma:contentTypeDescription="Create a new document." ma:contentTypeScope="" ma:versionID="d10e8ffec4c3dd66cb11b81a4c640a10">
  <xsd:schema xmlns:xsd="http://www.w3.org/2001/XMLSchema" xmlns:xs="http://www.w3.org/2001/XMLSchema" xmlns:p="http://schemas.microsoft.com/office/2006/metadata/properties" xmlns:ns2="f9b24b12-d7e5-4e46-9c82-4aaab35e0d6e" xmlns:ns3="3989381d-8515-4919-a331-87c58876b42f" targetNamespace="http://schemas.microsoft.com/office/2006/metadata/properties" ma:root="true" ma:fieldsID="1396a3fb72e31452bddf900074c18300" ns2:_="" ns3:_="">
    <xsd:import namespace="f9b24b12-d7e5-4e46-9c82-4aaab35e0d6e"/>
    <xsd:import namespace="3989381d-8515-4919-a331-87c58876b42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b24b12-d7e5-4e46-9c82-4aaab35e0d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89381d-8515-4919-a331-87c58876b42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cf32f57-2ef6-442f-891f-30c7a1aa59f3}" ma:internalName="TaxCatchAll" ma:showField="CatchAllData" ma:web="3989381d-8515-4919-a331-87c58876b4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148B25-A9E5-4A3F-85AC-C12438F19A0B}">
  <ds:schemaRefs>
    <ds:schemaRef ds:uri="http://schemas.microsoft.com/sharepoint/v3/contenttype/forms"/>
  </ds:schemaRefs>
</ds:datastoreItem>
</file>

<file path=customXml/itemProps2.xml><?xml version="1.0" encoding="utf-8"?>
<ds:datastoreItem xmlns:ds="http://schemas.openxmlformats.org/officeDocument/2006/customXml" ds:itemID="{68A49519-B095-444B-B52D-EF8FE8DD03F7}">
  <ds:schemaRefs>
    <ds:schemaRef ds:uri="http://schemas.microsoft.com/office/2006/metadata/properties"/>
    <ds:schemaRef ds:uri="http://schemas.microsoft.com/office/infopath/2007/PartnerControls"/>
    <ds:schemaRef ds:uri="f9b24b12-d7e5-4e46-9c82-4aaab35e0d6e"/>
    <ds:schemaRef ds:uri="3989381d-8515-4919-a331-87c58876b42f"/>
  </ds:schemaRefs>
</ds:datastoreItem>
</file>

<file path=customXml/itemProps3.xml><?xml version="1.0" encoding="utf-8"?>
<ds:datastoreItem xmlns:ds="http://schemas.openxmlformats.org/officeDocument/2006/customXml" ds:itemID="{F54BCBEE-E28E-4800-9A1C-33FDE783CE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b24b12-d7e5-4e46-9c82-4aaab35e0d6e"/>
    <ds:schemaRef ds:uri="3989381d-8515-4919-a331-87c58876b4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Pages>
  <Words>3321</Words>
  <Characters>18932</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Dimitrije Isoski</dc:creator>
  <cp:lastModifiedBy>Sabina Ivanović</cp:lastModifiedBy>
  <cp:revision>2</cp:revision>
  <dcterms:created xsi:type="dcterms:W3CDTF">2025-01-24T10:23:00Z</dcterms:created>
  <dcterms:modified xsi:type="dcterms:W3CDTF">2025-01-24T10:23:00Z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1033-12.2.0.19778</vt:lpwstr>
  </property>
  <property fmtid="{D5CDD505-2E9C-101B-9397-08002B2CF9AE}" pid="3" name="ICV">
    <vt:lpwstr>CFE144F5A9494A09BBA5DF75D741FD84_13</vt:lpwstr>
  </property>
  <property fmtid="{D5CDD505-2E9C-101B-9397-08002B2CF9AE}" pid="4" name="ContentTypeId">
    <vt:lpwstr>0x010100E95BDFC38CAB204A81EF7F1CD8A60BE2</vt:lpwstr>
  </property>
</Properties>
</file>